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lang w:val="en-US" w:eastAsia="zh-CN"/>
        </w:rPr>
      </w:pPr>
      <w:r>
        <w:rPr>
          <w:b/>
          <w:sz w:val="24"/>
        </w:rPr>
        <w:t>3GPP TSG-CT WG1 Meeting #134-e</w:t>
      </w:r>
      <w:r>
        <w:rPr>
          <w:b/>
          <w:i/>
          <w:sz w:val="28"/>
        </w:rPr>
        <w:tab/>
      </w:r>
      <w:r>
        <w:rPr>
          <w:b/>
          <w:sz w:val="24"/>
        </w:rPr>
        <w:t>C1-221663</w:t>
      </w:r>
    </w:p>
    <w:p>
      <w:pPr>
        <w:pStyle w:val="82"/>
        <w:tabs>
          <w:tab w:val="right" w:pos="9639"/>
        </w:tabs>
        <w:spacing w:after="0"/>
        <w:rPr>
          <w:b/>
          <w:i/>
          <w:sz w:val="28"/>
          <w:lang w:val="en-US" w:eastAsia="zh-CN"/>
        </w:rPr>
      </w:pPr>
      <w:r>
        <w:rPr>
          <w:b/>
          <w:sz w:val="24"/>
        </w:rPr>
        <w:t xml:space="preserve">E-meeting, 17-21 </w:t>
      </w:r>
      <w:r>
        <w:rPr>
          <w:rFonts w:hint="eastAsia"/>
          <w:b/>
          <w:sz w:val="24"/>
          <w:lang w:eastAsia="zh-CN"/>
        </w:rPr>
        <w:t>January</w:t>
      </w:r>
      <w:r>
        <w:rPr>
          <w:b/>
          <w:sz w:val="24"/>
        </w:rPr>
        <w:t xml:space="preserve"> 2022</w:t>
      </w:r>
      <w:r>
        <w:rPr>
          <w:b/>
          <w:i/>
          <w:sz w:val="28"/>
        </w:rPr>
        <w:tab/>
      </w:r>
      <w:r>
        <w:rPr>
          <w:b/>
          <w:sz w:val="24"/>
        </w:rPr>
        <w:t>was C1-220809</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3870</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zh-CN"/>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TAI configuration for non-3GPP access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TEI17</w:t>
            </w:r>
            <w:r>
              <w:rPr>
                <w:rFonts w:hint="eastAsia"/>
                <w:lang w:eastAsia="zh-CN"/>
              </w:rPr>
              <w:t>_</w:t>
            </w:r>
            <w:r>
              <w:t>N3SLICE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2022-02-10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ind w:left="100"/>
              <w:rPr>
                <w:lang w:eastAsia="zh-CN"/>
              </w:rPr>
            </w:pPr>
            <w:r>
              <w:t>TS</w:t>
            </w:r>
            <w:r>
              <w:rPr>
                <w:rFonts w:ascii="Cambria" w:hAnsi="Cambria" w:eastAsia="Cambria"/>
              </w:rPr>
              <w:t xml:space="preserve"> </w:t>
            </w:r>
            <w:r>
              <w:t>23.501 CR3556 proposes to update the description on TAI configuration on non-3GPP access for following reason</w:t>
            </w:r>
            <w:bookmarkStart w:id="9" w:name="_GoBack"/>
            <w:bookmarkEnd w:id="9"/>
            <w:r>
              <w:rPr>
                <w:lang w:eastAsia="zh-CN"/>
              </w:rPr>
              <w:t>:</w:t>
            </w:r>
          </w:p>
          <w:p>
            <w:pPr>
              <w:pStyle w:val="82"/>
              <w:ind w:left="100"/>
              <w:rPr>
                <w:lang w:eastAsia="zh-CN"/>
              </w:rPr>
            </w:pPr>
            <w:r>
              <w:rPr>
                <w:lang w:eastAsia="zh-CN"/>
              </w:rPr>
              <w:t>"</w:t>
            </w:r>
            <w:r>
              <w:rPr>
                <w:i/>
                <w:lang w:eastAsia="zh-CN"/>
              </w:rPr>
              <w:t>N3SLICE intends to configure same RAT-specific TAI for N3IWF, TNGF and TWIF, except the wireline access. Therefore when the UE receives forbidden TA over one non 3GPP RAT, the whole non 3GPP RAT should be fobidden to access for the UE</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C</w:t>
            </w:r>
            <w:r>
              <w:rPr>
                <w:lang w:eastAsia="zh-CN"/>
              </w:rPr>
              <w:t>larify that:</w:t>
            </w:r>
          </w:p>
          <w:p>
            <w:pPr>
              <w:pStyle w:val="82"/>
              <w:numPr>
                <w:ilvl w:val="0"/>
                <w:numId w:val="1"/>
              </w:numPr>
              <w:spacing w:after="0"/>
              <w:rPr>
                <w:lang w:eastAsia="zh-CN"/>
              </w:rPr>
            </w:pPr>
            <w:r>
              <w:t>for non-3GPP access, the operator can allocate a TAI per N3IWF, TNGF, TWIF or W-AGF. Each N3IWF, TNGF, TWIF or W-AGF is locally configured with a TAI. Each N3IWF, TNGF, TWIF or W-AGF can be configured with the same TAI value as other N3IWFs, TNGFs, TWIFs or W-AGFs. Each W-AGF can also be configured with its own TAI value.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lang w:eastAsia="zh-CN"/>
              </w:rPr>
              <w:t>Inconsistent description with stage 2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5</w:t>
            </w:r>
            <w:r>
              <w:rPr>
                <w:lang w:eastAsia="zh-CN"/>
              </w:rPr>
              <w:t>.5.1.2.4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 23.501 CR 3556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R</w:t>
            </w:r>
            <w:r>
              <w:rPr>
                <w:lang w:eastAsia="zh-CN"/>
              </w:rPr>
              <w:t>ev#1 was agreed in CT1#133bis to align the statement in TS 23.501 v17.3.0.</w:t>
            </w:r>
          </w:p>
          <w:p>
            <w:pPr>
              <w:pStyle w:val="82"/>
              <w:spacing w:after="0"/>
              <w:ind w:left="100"/>
              <w:rPr>
                <w:rFonts w:hint="eastAsia"/>
                <w:lang w:eastAsia="zh-CN"/>
              </w:rPr>
            </w:pPr>
            <w:r>
              <w:rPr>
                <w:lang w:eastAsia="zh-CN"/>
              </w:rPr>
              <w:t>Rev#2 intends to align with the further updates in SA2#149-e CR (</w:t>
            </w:r>
            <w:r>
              <w:t>TS 23.501 CR 3556).</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6"/>
      </w:pPr>
      <w:bookmarkStart w:id="1" w:name="_Toc20232675"/>
      <w:bookmarkStart w:id="2" w:name="_Toc27746777"/>
      <w:bookmarkStart w:id="3" w:name="_Toc36212959"/>
      <w:bookmarkStart w:id="4" w:name="_Toc51948069"/>
      <w:bookmarkStart w:id="5" w:name="_Toc91599084"/>
      <w:bookmarkStart w:id="6" w:name="_Toc51949161"/>
      <w:bookmarkStart w:id="7" w:name="_Toc45286800"/>
      <w:bookmarkStart w:id="8" w:name="_Toc36657136"/>
      <w:r>
        <w:t>5.5.1.2.4</w:t>
      </w:r>
      <w:r>
        <w:tab/>
      </w:r>
      <w:r>
        <w:t>Initial registration accepted by the network</w:t>
      </w:r>
      <w:bookmarkEnd w:id="1"/>
      <w:bookmarkEnd w:id="2"/>
      <w:bookmarkEnd w:id="3"/>
      <w:bookmarkEnd w:id="4"/>
      <w:bookmarkEnd w:id="5"/>
      <w:bookmarkEnd w:id="6"/>
      <w:bookmarkEnd w:id="7"/>
      <w:bookmarkEnd w:id="8"/>
    </w:p>
    <w:p>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r>
        <w:t>If the initial registration request is accepted by the network, the AMF shall send a REGISTRATION ACCEPT message to the UE.</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57"/>
        <w:rPr>
          <w:lang w:eastAsia="ja-JP"/>
        </w:rPr>
      </w:pPr>
      <w:r>
        <w:t>NOTE 1:</w:t>
      </w:r>
      <w:r>
        <w:tab/>
      </w:r>
      <w:r>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pStyle w:val="57"/>
      </w:pPr>
      <w:r>
        <w:t>NOTE 2:</w:t>
      </w:r>
      <w:r>
        <w:tab/>
      </w:r>
      <w:ins w:id="0" w:author="Zhou" w:date="2022-01-10T00:49:00Z">
        <w:r>
          <w:rPr/>
          <w:t xml:space="preserve">For non-3GPP access, </w:t>
        </w:r>
      </w:ins>
      <w:del w:id="1" w:author="Zhou" w:date="2022-01-10T00:49:00Z">
        <w:r>
          <w:rPr/>
          <w:delText>T</w:delText>
        </w:r>
      </w:del>
      <w:ins w:id="2" w:author="Zhou" w:date="2022-01-10T00:49:00Z">
        <w:r>
          <w:rPr/>
          <w:t>t</w:t>
        </w:r>
      </w:ins>
      <w:r>
        <w:t xml:space="preserve">he operator can allocate a TAI per </w:t>
      </w:r>
      <w:ins w:id="3" w:author="Zhou" w:date="2022-01-10T00:50:00Z">
        <w:r>
          <w:rPr/>
          <w:t>N3IWF, TNGF, TWIF or W-AGF</w:t>
        </w:r>
      </w:ins>
      <w:ins w:id="4" w:author="Zhou" w:date="2022-01-10T00:51:00Z">
        <w:r>
          <w:rPr/>
          <w:t>.</w:t>
        </w:r>
      </w:ins>
      <w:del w:id="5" w:author="Zhou" w:date="2022-01-10T00:50:00Z">
        <w:r>
          <w:rPr/>
          <w:delText>non-3GPP access gateway and</w:delText>
        </w:r>
      </w:del>
      <w:r>
        <w:t xml:space="preserve"> </w:t>
      </w:r>
      <w:del w:id="6" w:author="Zhou" w:date="2022-01-10T00:51:00Z">
        <w:r>
          <w:rPr/>
          <w:delText>e</w:delText>
        </w:r>
      </w:del>
      <w:ins w:id="7" w:author="Zhou" w:date="2022-01-10T00:51:00Z">
        <w:r>
          <w:rPr/>
          <w:t>E</w:t>
        </w:r>
      </w:ins>
      <w:r>
        <w:t xml:space="preserve">ach </w:t>
      </w:r>
      <w:ins w:id="8" w:author="Zhou" w:date="2022-01-10T00:52:00Z">
        <w:r>
          <w:rPr/>
          <w:t>N3IWF, TNGF, TWIF or W-AGF</w:t>
        </w:r>
      </w:ins>
      <w:del w:id="9" w:author="Zhou" w:date="2022-01-10T00:52:00Z">
        <w:r>
          <w:rPr/>
          <w:delText>non-3GPP access gateway</w:delText>
        </w:r>
      </w:del>
      <w:r>
        <w:t xml:space="preserve"> is locally configured with </w:t>
      </w:r>
      <w:del w:id="10" w:author="Zhou rev1" w:date="2022-01-19T09:39:00Z">
        <w:r>
          <w:rPr>
            <w:rFonts w:hint="eastAsia"/>
            <w:lang w:eastAsia="zh-CN"/>
          </w:rPr>
          <w:delText>its own</w:delText>
        </w:r>
      </w:del>
      <w:ins w:id="11" w:author="Zhou rev1" w:date="2022-01-19T09:39:00Z">
        <w:r>
          <w:rPr/>
          <w:t>a</w:t>
        </w:r>
      </w:ins>
      <w:r>
        <w:t xml:space="preserve"> TAI.</w:t>
      </w:r>
      <w:ins w:id="12" w:author="Zhou" w:date="2022-01-10T00:52:00Z">
        <w:r>
          <w:rPr/>
          <w:t xml:space="preserve"> </w:t>
        </w:r>
      </w:ins>
      <w:ins w:id="13" w:author="Zhou" w:date="2022-01-10T00:55:00Z">
        <w:r>
          <w:rPr/>
          <w:t xml:space="preserve">Each N3IWF, TNGF, TWIF </w:t>
        </w:r>
      </w:ins>
      <w:ins w:id="14" w:author="Zhou rev1" w:date="2022-01-18T22:56:00Z">
        <w:r>
          <w:rPr/>
          <w:t>or</w:t>
        </w:r>
      </w:ins>
      <w:ins w:id="15" w:author="Zhou" w:date="2022-01-10T00:55:00Z">
        <w:r>
          <w:rPr/>
          <w:t xml:space="preserve"> W-AGF can be configured with the same TAI value as other N3IWFs, TNGFs, TWIFs </w:t>
        </w:r>
      </w:ins>
      <w:ins w:id="16" w:author="Zhou rev1" w:date="2022-01-18T23:00:00Z">
        <w:r>
          <w:rPr/>
          <w:t>or</w:t>
        </w:r>
      </w:ins>
      <w:ins w:id="17" w:author="Zhou" w:date="2022-01-10T00:55:00Z">
        <w:r>
          <w:rPr/>
          <w:t xml:space="preserve"> W-AGFs.</w:t>
        </w:r>
      </w:ins>
      <w:ins w:id="18" w:author="Zhou rev2" w:date="2022-02-10T18:37:00Z">
        <w:r>
          <w:rPr/>
          <w:t xml:space="preserve"> Each W-AGF</w:t>
        </w:r>
      </w:ins>
      <w:ins w:id="19" w:author="Zhou rev2" w:date="2022-02-10T18:38:00Z">
        <w:r>
          <w:rPr/>
          <w:t xml:space="preserve"> can also be configured with its own TAI value.</w:t>
        </w:r>
      </w:ins>
    </w:p>
    <w:p>
      <w:pPr>
        <w:pStyle w:val="57"/>
      </w:pPr>
      <w:r>
        <w:t>NOTE 3:</w:t>
      </w:r>
      <w:r>
        <w:tab/>
      </w:r>
      <w:r>
        <w:t>When assigning the TAI list, the AMF can take into account the eNodeB's capability of support of CIoT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
        <w:t>If the Service area list IE is not included in the REGISTRATION ACCEPT message, any tracking area in the registered PLMN and its equivalent PLMN(s) in the registration area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76"/>
      </w:pPr>
      <w:r>
        <w:t>-</w:t>
      </w:r>
      <w:r>
        <w:tab/>
      </w:r>
      <w:r>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76"/>
      </w:pPr>
      <w:r>
        <w:t>-</w:t>
      </w:r>
      <w:r>
        <w:tab/>
      </w:r>
      <w:r>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76"/>
      </w:pPr>
      <w:r>
        <w:t>-</w:t>
      </w:r>
      <w:r>
        <w:tab/>
      </w:r>
      <w:r>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57"/>
      </w:pPr>
      <w:r>
        <w:t>NOTE 4:</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pPr>
        <w:pStyle w:val="57"/>
      </w:pPr>
      <w:r>
        <w:t>NOTE 5:</w:t>
      </w:r>
      <w:r>
        <w:tab/>
      </w:r>
      <w:r>
        <w:t>The AMF can take local configuration or previous statistical information for the UE into account when determining the Paging subgroup ID for the UE.</w:t>
      </w:r>
    </w:p>
    <w:p>
      <w:r>
        <w:t>The AMF shall include the LADN information which consists of the determined LADN DNNs for the UE and LADN service area(s) available in the current registration area in the LADN information IE of the REGISTRATION ACCEPT message.</w:t>
      </w:r>
    </w:p>
    <w:p>
      <w:r>
        <w:t xml:space="preserve">The UE, upon receiving the REGISTRATION ACCEPT message with the LADN information, shall store the received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pPr>
        <w:pStyle w:val="57"/>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r>
        <w:t>If a 5G-GUTI or the SOR transparent container IE is included in the REGISTRATION ACCEPT message, the AMF shall start timer T3550 and enter state 5GMM-COMMON-PROCEDURE-INITIATED as described in subclause 5.1.3.2.3.3.</w:t>
      </w:r>
    </w:p>
    <w:p>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over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
        <w:t>The AMF may include the T3447 value IE set to the service gap time value in the REGISTRATION ACCEPT message if:</w:t>
      </w:r>
    </w:p>
    <w:p>
      <w:pPr>
        <w:pStyle w:val="76"/>
      </w:pPr>
      <w:r>
        <w:t>-</w:t>
      </w:r>
      <w:r>
        <w:tab/>
      </w:r>
      <w:r>
        <w:t>the UE has indicated support for service gap control in the REGISTRATION REQUEST message; and</w:t>
      </w:r>
    </w:p>
    <w:p>
      <w:pPr>
        <w:pStyle w:val="76"/>
      </w:pPr>
      <w:r>
        <w:t>-</w:t>
      </w:r>
      <w:r>
        <w:tab/>
      </w:r>
      <w:r>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76"/>
      </w:pPr>
      <w:r>
        <w:t>a)</w:t>
      </w:r>
      <w:r>
        <w:tab/>
      </w:r>
      <w:r>
        <w:rPr>
          <w:lang w:val="en-US"/>
        </w:rPr>
        <w:t>the UE is configured for high priority access in the selected PLMN</w:t>
      </w:r>
      <w:r>
        <w:t>; or</w:t>
      </w:r>
    </w:p>
    <w:p>
      <w:pPr>
        <w:pStyle w:val="76"/>
      </w:pPr>
      <w:r>
        <w:t>b)</w:t>
      </w:r>
      <w:r>
        <w:tab/>
      </w:r>
      <w:r>
        <w:t>the 5GS registration type IE in the REGISTRATION REQUEST message is set to "emergency registration".</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76"/>
      </w:pPr>
      <w:r>
        <w:t>-</w:t>
      </w:r>
      <w:r>
        <w:tab/>
      </w:r>
      <w:r>
        <w:rPr>
          <w:lang w:val="en-US"/>
        </w:rPr>
        <w:t>the UE in NB-N1 mode</w:t>
      </w:r>
      <w:r>
        <w:t xml:space="preserve"> is using control plane CIoT 5GS optimization; and</w:t>
      </w:r>
    </w:p>
    <w:p>
      <w:pPr>
        <w:pStyle w:val="76"/>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
        <w:t>If the UE has included the Service-level device ID set to the CAA-level UAV ID in the Service-level-AA container IE of the REGISTRATION REQUEST message, and if:</w:t>
      </w:r>
    </w:p>
    <w:p>
      <w:pPr>
        <w:pStyle w:val="76"/>
      </w:pPr>
      <w:r>
        <w:t>-</w:t>
      </w:r>
      <w:r>
        <w:tab/>
      </w:r>
      <w:r>
        <w:t>the UE has a valid aerial UE subscription information;</w:t>
      </w:r>
    </w:p>
    <w:p>
      <w:pPr>
        <w:pStyle w:val="76"/>
      </w:pPr>
      <w:r>
        <w:t>-</w:t>
      </w:r>
      <w:r>
        <w:tab/>
      </w:r>
      <w:r>
        <w:t>the UUAA procedure is to be performed during the registration procedure according to operator policy;</w:t>
      </w:r>
    </w:p>
    <w:p>
      <w:pPr>
        <w:pStyle w:val="76"/>
      </w:pPr>
      <w:r>
        <w:t>-</w:t>
      </w:r>
      <w:r>
        <w:tab/>
      </w:r>
      <w:r>
        <w:t>there is no valid UUAA result for the UE in the UE 5GMM context; and</w:t>
      </w:r>
    </w:p>
    <w:p>
      <w:pPr>
        <w:pStyle w:val="76"/>
      </w:pPr>
      <w:r>
        <w:t>-</w:t>
      </w:r>
      <w:r>
        <w:tab/>
      </w:r>
      <w:r>
        <w:t>the REGISTRATION REQUEST message was not received over non-3GPP access,</w:t>
      </w:r>
    </w:p>
    <w:p>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pPr>
        <w:pStyle w:val="75"/>
      </w:pPr>
      <w:r>
        <w:t>Editor's note:</w:t>
      </w:r>
      <w:r>
        <w:tab/>
      </w:r>
      <w:r>
        <w:t>It is FFS when there is valid UUAA result for the UE in the UE 5GMM context</w:t>
      </w:r>
    </w:p>
    <w:p>
      <w:pPr>
        <w:pStyle w:val="75"/>
      </w:pPr>
      <w:r>
        <w:t>Editor's note:</w:t>
      </w:r>
      <w:r>
        <w:tab/>
      </w:r>
      <w:r>
        <w:t>How to handle pending NSSAI during the registration procedure for UAS service is FFS.</w:t>
      </w:r>
    </w:p>
    <w:p>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57"/>
      </w:pPr>
      <w:r>
        <w:t>NOTE 7:</w:t>
      </w:r>
      <w:r>
        <w:tab/>
      </w:r>
      <w:r>
        <w:t>The AMF can determine the contents of the "list of PLMN(s) to be used in disaster condition", the value of the disaster roaming wait range and the value of the disaster return wait range based on the network local configuration.</w:t>
      </w:r>
    </w:p>
    <w:p>
      <w:r>
        <w:t>Upon receipt of the REGISTRATION ACCEPT message, the UE shall reset the registration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 xml:space="preserve">the REGISTRATION ACCEPT message contains the Network slicing indication IE with the Network slicing subscription change indication set to "Network slicing subscription changed", or </w:t>
      </w:r>
      <w:r>
        <w:rPr>
          <w:rFonts w:hint="eastAsia"/>
        </w:rPr>
        <w:t xml:space="preserve">contains </w:t>
      </w:r>
      <w:r>
        <w:t>a configured</w:t>
      </w:r>
      <w:r>
        <w:rPr>
          <w:rFonts w:hint="eastAsia"/>
        </w:rPr>
        <w:t xml:space="preserve"> NSSAI</w:t>
      </w:r>
      <w: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
        <w:t>I</w:t>
      </w:r>
      <w:r>
        <w:rPr>
          <w:rFonts w:hint="eastAsia"/>
        </w:rPr>
        <w:t xml:space="preserve">f </w:t>
      </w:r>
      <w:r>
        <w:t>the REGISTRATION ACCEPT message contains the CAG information list IE and the UE had set the CAG bit to "CAG supported" in the 5GMM capability IE of the REGISTRATION REQUEST message, the UE shall:</w:t>
      </w:r>
    </w:p>
    <w:p>
      <w:pPr>
        <w:pStyle w:val="76"/>
      </w:pPr>
      <w:r>
        <w:t>a)</w:t>
      </w:r>
      <w:r>
        <w:tab/>
      </w:r>
      <w:r>
        <w:t>replace the "CAG information list" stored in the UE with the received CAG information list IE when received in the HPLMN or EHPLMN;</w:t>
      </w:r>
    </w:p>
    <w:p>
      <w:pPr>
        <w:pStyle w:val="57"/>
      </w:pPr>
      <w:r>
        <w:t>NOTE 8:</w:t>
      </w:r>
      <w:r>
        <w:tab/>
      </w:r>
      <w:r>
        <w:t>When the UE receives the CAG information list IE in the HPLMN derived from the IMSI, the EHPLMN list is present and is not empty and the HPLMN is not present in the EHPLMN list, the UE behaves as if it receives the CAG information list IE in a VPLMN</w:t>
      </w:r>
      <w:r>
        <w:rPr>
          <w:rFonts w:hint="eastAsia"/>
          <w:lang w:eastAsia="zh-CN"/>
        </w:rPr>
        <w:t>.</w:t>
      </w:r>
    </w:p>
    <w:p>
      <w:pPr>
        <w:pStyle w:val="76"/>
      </w:pPr>
      <w:r>
        <w:t>b)</w:t>
      </w:r>
      <w:r>
        <w:tab/>
      </w:r>
      <w:r>
        <w:t>replace the serving VPLMN's entry of the "CAG information list" stored in the UE with the serving VPLMN's entry of the received CAG information list IE when the UE receives the CAG information list IE in a serving PLMN other than the HPLMN or EHPLMN; or</w:t>
      </w:r>
    </w:p>
    <w:p>
      <w:pPr>
        <w:pStyle w:val="57"/>
      </w:pPr>
      <w:r>
        <w:t>NOTE 9:</w:t>
      </w:r>
      <w:r>
        <w:tab/>
      </w:r>
      <w:r>
        <w:t>When the UE receives the CAG information list IE in a serving PLMN other than the HPLMN or EHPLMN, entries of a PLMN other than the serving VPLMN, if any, in the received CAG information list IE are ignored.</w:t>
      </w:r>
    </w:p>
    <w:p>
      <w:pPr>
        <w:pStyle w:val="76"/>
      </w:pPr>
      <w:r>
        <w:t>c)</w:t>
      </w:r>
      <w:r>
        <w:tab/>
      </w:r>
      <w:r>
        <w:t>remove the serving VPLMN's entry of the "CAG information list" stored in the UE when the UE receives the CAG information list IE in a serving PLMN other than the HPLMN or EHPLMN and the CAG information list IE does not contain the serving VPLMN's entry.</w:t>
      </w:r>
    </w:p>
    <w:p>
      <w:r>
        <w:t>The UE shall store the "CAG information list" received in the CAG information list IE as specified in annex C.</w:t>
      </w:r>
    </w:p>
    <w:p>
      <w:pPr>
        <w:rPr>
          <w:lang w:eastAsia="ko-KR"/>
        </w:rPr>
      </w:pPr>
      <w:r>
        <w:rPr>
          <w:lang w:eastAsia="ko-KR"/>
        </w:rPr>
        <w:t>If the received "CAG information list" includes an entry containing the identity of the registered PLMN, the UE shall operate as follows:</w:t>
      </w:r>
    </w:p>
    <w:p>
      <w:pPr>
        <w:pStyle w:val="76"/>
        <w:rPr>
          <w:lang w:eastAsia="ko-KR"/>
        </w:rPr>
      </w:pPr>
      <w:r>
        <w:rPr>
          <w:lang w:eastAsia="ko-KR"/>
        </w:rPr>
        <w:t>a)</w:t>
      </w:r>
      <w:r>
        <w:rPr>
          <w:lang w:eastAsia="ko-KR"/>
        </w:rPr>
        <w:tab/>
      </w:r>
      <w:r>
        <w:rPr>
          <w:lang w:eastAsia="ko-KR"/>
        </w:rPr>
        <w:t>if the UE receives the REGISTRATION ACCEPT message via a CAG cell, the entry for the registered PLMN in the received "CAG information list" does not include any of the CAG-ID(s) supported by the current CAG cell, and:</w:t>
      </w:r>
    </w:p>
    <w:p>
      <w:pPr>
        <w:pStyle w:val="77"/>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77"/>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78"/>
      </w:pPr>
      <w:r>
        <w:t>i)</w:t>
      </w:r>
      <w:r>
        <w:tab/>
      </w:r>
      <w:r>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pPr>
        <w:pStyle w:val="78"/>
      </w:pPr>
      <w:r>
        <w:t>ii)</w:t>
      </w:r>
      <w:r>
        <w:tab/>
      </w:r>
      <w:r>
        <w:t xml:space="preserve">if the entry for the </w:t>
      </w:r>
      <w:r>
        <w:rPr>
          <w:lang w:eastAsia="ko-KR"/>
        </w:rPr>
        <w:t>registered</w:t>
      </w:r>
      <w:r>
        <w:t xml:space="preserve"> PLMN in the received "CAG information list" does not include any CAG-ID and:</w:t>
      </w:r>
    </w:p>
    <w:p>
      <w:pPr>
        <w:pStyle w:val="79"/>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79"/>
      </w:pPr>
      <w:r>
        <w:t>B)</w:t>
      </w:r>
      <w:r>
        <w:tab/>
      </w:r>
      <w:r>
        <w:t>the UE has an emergency PDU session, then the UE shall perform a local release of all PDU sessions associated with 3GPP access except for the emergency PDU session and enter the state 5GMM-REGISTERED.LIMITED-SERVICE; or</w:t>
      </w:r>
    </w:p>
    <w:p>
      <w:pPr>
        <w:pStyle w:val="76"/>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77"/>
      </w:pPr>
      <w:r>
        <w:t>1)</w:t>
      </w:r>
      <w:r>
        <w:tab/>
      </w:r>
      <w:r>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pPr>
        <w:pStyle w:val="77"/>
      </w:pPr>
      <w:r>
        <w:t>2)</w:t>
      </w:r>
      <w:r>
        <w:tab/>
      </w:r>
      <w:r>
        <w:t xml:space="preserve">if the entry for the </w:t>
      </w:r>
      <w:r>
        <w:rPr>
          <w:lang w:eastAsia="ko-KR"/>
        </w:rPr>
        <w:t>registered</w:t>
      </w:r>
      <w:r>
        <w:t xml:space="preserve"> PLMN in the received "CAG information list" does not include any CAG-ID and:</w:t>
      </w:r>
    </w:p>
    <w:p>
      <w:pPr>
        <w:pStyle w:val="78"/>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78"/>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and the UE radio capability ID, if sent in the REGISTRATION ACCEPT,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76"/>
      </w:pPr>
      <w:r>
        <w:t>a)</w:t>
      </w:r>
      <w:r>
        <w:tab/>
      </w:r>
      <w:r>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pPr>
        <w:pStyle w:val="76"/>
      </w:pPr>
      <w:r>
        <w:rPr>
          <w:rFonts w:hint="eastAsia"/>
          <w:lang w:eastAsia="zh-CN"/>
        </w:rPr>
        <w:t>b</w:t>
      </w:r>
      <w:r>
        <w:t>)</w:t>
      </w:r>
      <w:r>
        <w:tab/>
      </w:r>
      <w:r>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
        <w:t>If:</w:t>
      </w:r>
    </w:p>
    <w:p>
      <w:pPr>
        <w:pStyle w:val="76"/>
      </w:pPr>
      <w:r>
        <w:t>a)</w:t>
      </w:r>
      <w:r>
        <w:tab/>
      </w:r>
      <w:r>
        <w:t>the SMSF selection in the AMF is not successful;</w:t>
      </w:r>
    </w:p>
    <w:p>
      <w:pPr>
        <w:pStyle w:val="76"/>
      </w:pPr>
      <w:r>
        <w:t>b)</w:t>
      </w:r>
      <w:r>
        <w:tab/>
      </w:r>
      <w:r>
        <w:t>the SMS activation via the SMSF is not successful;</w:t>
      </w:r>
    </w:p>
    <w:p>
      <w:pPr>
        <w:pStyle w:val="76"/>
      </w:pPr>
      <w:r>
        <w:t>c)</w:t>
      </w:r>
      <w:r>
        <w:tab/>
      </w:r>
      <w:r>
        <w:t>the AMF does not allow the use of SMS over NAS;</w:t>
      </w:r>
    </w:p>
    <w:p>
      <w:pPr>
        <w:pStyle w:val="76"/>
      </w:pPr>
      <w:r>
        <w:t>d)</w:t>
      </w:r>
      <w:r>
        <w:tab/>
      </w:r>
      <w:r>
        <w:t>the SMS requested bit of the 5GS update type IE was set to "SMS over NAS not supported" in the REGISTRATION REQUEST message; or</w:t>
      </w:r>
    </w:p>
    <w:p>
      <w:pPr>
        <w:pStyle w:val="76"/>
      </w:pPr>
      <w:r>
        <w:t>e)</w:t>
      </w:r>
      <w:r>
        <w:tab/>
      </w:r>
      <w:r>
        <w:t>the 5GS update type IE was not included in the REGISTRATION REQUEST message;</w:t>
      </w:r>
    </w:p>
    <w:p>
      <w:r>
        <w:t>then the AMF shall 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t xml:space="preserve">If the </w:t>
      </w:r>
      <w:r>
        <w:rPr>
          <w:lang w:eastAsia="ja-JP"/>
        </w:rPr>
        <w:t>5GS registration result IE value indicates:</w:t>
      </w:r>
    </w:p>
    <w:p>
      <w:pPr>
        <w:pStyle w:val="76"/>
      </w:pPr>
      <w:r>
        <w:t>a)</w:t>
      </w:r>
      <w:r>
        <w:tab/>
      </w:r>
      <w:r>
        <w:t>"3GPP access", the UE:</w:t>
      </w:r>
    </w:p>
    <w:p>
      <w:pPr>
        <w:pStyle w:val="77"/>
      </w:pPr>
      <w:r>
        <w:t>-</w:t>
      </w:r>
      <w:r>
        <w:tab/>
      </w:r>
      <w:r>
        <w:t>shall consider itself as being registered to 3GPP access only; and</w:t>
      </w:r>
    </w:p>
    <w:p>
      <w:pPr>
        <w:pStyle w:val="77"/>
        <w:rPr>
          <w:lang w:val="en-US"/>
        </w:rPr>
      </w:pPr>
      <w:r>
        <w:t>-</w:t>
      </w:r>
      <w:r>
        <w:tab/>
      </w:r>
      <w:r>
        <w:t xml:space="preserve">if in </w:t>
      </w:r>
      <w:r>
        <w:rPr>
          <w:lang w:val="en-US"/>
        </w:rPr>
        <w:t>5GMM-REGISTERED state over non-3GPP access and on the same PLMN as 3GPP access, shall enter state 5GMM-DEREGISTERED.</w:t>
      </w:r>
      <w:r>
        <w:t>ATTEMPTING-REGISTRATION</w:t>
      </w:r>
      <w:r>
        <w:rPr>
          <w:lang w:val="en-US"/>
        </w:rPr>
        <w:t xml:space="preserve"> over non-3GPP access and set the 5GS update status to 5U2 NOT UPDATED over non-3GPP access;</w:t>
      </w:r>
    </w:p>
    <w:p>
      <w:pPr>
        <w:pStyle w:val="76"/>
      </w:pPr>
      <w:r>
        <w:t>b)</w:t>
      </w:r>
      <w:r>
        <w:tab/>
      </w:r>
      <w:r>
        <w:t>"Non-3GPP access", the UE:</w:t>
      </w:r>
    </w:p>
    <w:p>
      <w:pPr>
        <w:pStyle w:val="77"/>
      </w:pPr>
      <w:r>
        <w:t>-</w:t>
      </w:r>
      <w:r>
        <w:tab/>
      </w:r>
      <w:r>
        <w:t>shall consider itself as being registered to non-3GPP access only; and</w:t>
      </w:r>
    </w:p>
    <w:p>
      <w:pPr>
        <w:pStyle w:val="77"/>
        <w:rPr>
          <w:lang w:val="en-US"/>
        </w:rPr>
      </w:pPr>
      <w:r>
        <w:t>-</w:t>
      </w:r>
      <w:r>
        <w:tab/>
      </w:r>
      <w:r>
        <w:t xml:space="preserve">if in the </w:t>
      </w:r>
      <w:r>
        <w:rPr>
          <w:lang w:val="en-US"/>
        </w:rPr>
        <w:t>5GMM-REGISTERED state over 3GPP access and is on the same PLMN as non-3GPP access, shall enter the state 5GMM-DEREGISTERED.</w:t>
      </w:r>
      <w:r>
        <w:t>ATTEMPTING-REGISTRATION</w:t>
      </w:r>
      <w:r>
        <w:rPr>
          <w:lang w:val="en-US"/>
        </w:rPr>
        <w:t xml:space="preserve"> over 3GPP access and set the 5GS update status to 5U2 NOT UPDATED over 3GPP access; or</w:t>
      </w:r>
    </w:p>
    <w:p>
      <w:pPr>
        <w:pStyle w:val="76"/>
      </w:pPr>
      <w:r>
        <w:t>c)</w:t>
      </w:r>
      <w:r>
        <w:tab/>
      </w:r>
      <w:r>
        <w:t>"3GPP access and Non-3GPP access", the UE shall consider itself as being registered to both 3GPP access and non-3GPP access.</w:t>
      </w:r>
    </w:p>
    <w:p>
      <w:r>
        <w:rPr>
          <w:rFonts w:hint="eastAsia"/>
        </w:rPr>
        <w:t>The AMF shall include the a</w:t>
      </w:r>
      <w:r>
        <w:t>llowed NSSAI</w:t>
      </w:r>
      <w:r>
        <w:rPr>
          <w:rFonts w:hint="eastAsia"/>
        </w:rPr>
        <w:t xml:space="preserve"> </w:t>
      </w:r>
      <w:r>
        <w:t>for the current PLMN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pPr>
        <w:pStyle w:val="76"/>
      </w:pPr>
      <w:r>
        <w:t>a)</w:t>
      </w:r>
      <w:r>
        <w:tab/>
      </w:r>
      <w:r>
        <w:t>rejected NSSAI for the current PLMN or SNPN shall not include an S-NSSAI for the current PLMN or SNPN which is associated to multiple mapped S-NSSAIs and some of these but not all mapped S-NSSAIs are not allowed; and</w:t>
      </w:r>
    </w:p>
    <w:p>
      <w:pPr>
        <w:pStyle w:val="76"/>
      </w:pPr>
      <w:r>
        <w:t>b)</w:t>
      </w:r>
      <w:r>
        <w:tab/>
      </w:r>
      <w:r>
        <w:t>rejected NSSAI for the current registration area shall not include an S-NSSAI for the current PLMN or SNPN which is associated to multiple mapped S-NSSAIs and some of these but not all mapped S-NSSAIs are not allowed.</w:t>
      </w:r>
    </w:p>
    <w:p>
      <w:pPr>
        <w:pStyle w:val="57"/>
      </w:pPr>
      <w:r>
        <w:t>NOTE 10:</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pPr>
        <w:pStyle w:val="76"/>
      </w:pPr>
      <w:r>
        <w:t>a)</w:t>
      </w:r>
      <w:r>
        <w:tab/>
      </w:r>
      <w:r>
        <w:t>the allowed NSSAI containing the S-NSSAI(s) or the mapped S-NSSAI(s), if any:</w:t>
      </w:r>
    </w:p>
    <w:p>
      <w:pPr>
        <w:pStyle w:val="77"/>
      </w:pPr>
      <w:r>
        <w:t>1)</w:t>
      </w:r>
      <w:r>
        <w:tab/>
      </w:r>
      <w:r>
        <w:t>which are not subject to network slice-specific authentication and authorization and are allowed by the AMF; or</w:t>
      </w:r>
    </w:p>
    <w:p>
      <w:pPr>
        <w:pStyle w:val="77"/>
      </w:pPr>
      <w:r>
        <w:t>2)</w:t>
      </w:r>
      <w:r>
        <w:tab/>
      </w:r>
      <w:r>
        <w:t>for which the network slice-specific authentication and authorization has been successfully performed;</w:t>
      </w:r>
    </w:p>
    <w:p>
      <w:pPr>
        <w:pStyle w:val="76"/>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the </w:t>
      </w:r>
      <w:r>
        <w:t>rejected NSSAI</w:t>
      </w:r>
      <w:r>
        <w:rPr>
          <w:rFonts w:hint="eastAsia"/>
          <w:lang w:eastAsia="zh-CN"/>
        </w:rPr>
        <w:t>;</w:t>
      </w:r>
    </w:p>
    <w:p>
      <w:pPr>
        <w:pStyle w:val="76"/>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76"/>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76"/>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pPr>
        <w:pStyle w:val="76"/>
        <w:rPr>
          <w:rFonts w:eastAsia="Malgun Gothic"/>
        </w:rPr>
      </w:pPr>
      <w:r>
        <w:rPr>
          <w:rFonts w:eastAsia="Malgun Gothic"/>
        </w:rPr>
        <w:t>b)</w:t>
      </w:r>
      <w:r>
        <w:rPr>
          <w:rFonts w:eastAsia="Malgun Gothic"/>
        </w:rPr>
        <w:tab/>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t>subject to network slice-specific authentication and authorization</w:t>
      </w:r>
      <w:r>
        <w:rPr>
          <w:rFonts w:eastAsia="Malgun Gothic"/>
        </w:rPr>
        <w:t>; and</w:t>
      </w:r>
    </w:p>
    <w:p>
      <w:pPr>
        <w:pStyle w:val="76"/>
      </w:pPr>
      <w:r>
        <w:t>c)</w:t>
      </w:r>
      <w:r>
        <w:tab/>
      </w:r>
      <w:r>
        <w:t>the network slice-specific authentication and authorization procedure has not been successfully performed for any of the subscribed S-NSSAIs marked as default,</w:t>
      </w:r>
    </w:p>
    <w:p>
      <w:pPr>
        <w:rPr>
          <w:rFonts w:eastAsia="Malgun Gothic"/>
        </w:rPr>
      </w:pPr>
      <w:r>
        <w:rPr>
          <w:rFonts w:eastAsia="Malgun Gothic"/>
        </w:rPr>
        <w:t>the AMF shall in the REGISTRATION ACCEPT message include:</w:t>
      </w:r>
    </w:p>
    <w:p>
      <w:pPr>
        <w:pStyle w:val="76"/>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pPr>
        <w:pStyle w:val="76"/>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76"/>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76"/>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76"/>
        <w:rPr>
          <w:rFonts w:eastAsia="Malgun Gothic"/>
        </w:rPr>
      </w:pPr>
      <w:r>
        <w:rPr>
          <w:rFonts w:eastAsia="Malgun Gothic"/>
        </w:rPr>
        <w:t>b)</w:t>
      </w:r>
      <w:r>
        <w:rPr>
          <w:rFonts w:eastAsia="Malgun Gothic"/>
        </w:rPr>
        <w:tab/>
      </w:r>
      <w:r>
        <w:rPr>
          <w:rFonts w:eastAsia="Malgun Gothic"/>
        </w:rPr>
        <w:t xml:space="preserve">one or more </w:t>
      </w:r>
      <w:r>
        <w:rPr>
          <w:rFonts w:hint="eastAsia"/>
          <w:lang w:eastAsia="zh-CN"/>
        </w:rPr>
        <w:t>subscribed S-NSSAIs</w:t>
      </w:r>
      <w:r>
        <w:rPr>
          <w:lang w:eastAsia="zh-CN"/>
        </w:rPr>
        <w:t xml:space="preserve">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pPr>
        <w:rPr>
          <w:rFonts w:eastAsia="Malgun Gothic"/>
        </w:rPr>
      </w:pPr>
      <w:r>
        <w:rPr>
          <w:rFonts w:eastAsia="Malgun Gothic"/>
        </w:rPr>
        <w:t>the AMF shall in the REGISTRATION ACCEPT message include:</w:t>
      </w:r>
    </w:p>
    <w:p>
      <w:pPr>
        <w:pStyle w:val="76"/>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76"/>
      </w:pPr>
      <w:r>
        <w:t>b)</w:t>
      </w:r>
      <w:r>
        <w:tab/>
      </w:r>
      <w:r>
        <w:t>allowed NSSAI containing S-NSSAI(s)</w:t>
      </w:r>
      <w:r>
        <w:rPr>
          <w:rFonts w:hint="eastAsia"/>
        </w:rPr>
        <w:t xml:space="preserve"> </w:t>
      </w:r>
      <w: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pPr>
        <w:pStyle w:val="76"/>
        <w:rPr>
          <w:rFonts w:eastAsia="Malgun Gothic"/>
        </w:rPr>
      </w:pPr>
      <w:r>
        <w:rPr>
          <w:rFonts w:eastAsia="Malgun Gothic"/>
        </w:rPr>
        <w:t>c)</w:t>
      </w:r>
      <w:r>
        <w:rPr>
          <w:rFonts w:eastAsia="Malgun Gothic"/>
        </w:rPr>
        <w:tab/>
      </w:r>
      <w:r>
        <w:rPr>
          <w:rFonts w:eastAsia="Malgun Gothic"/>
        </w:rPr>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76"/>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subscribed S-NSSAI(s) marked as default</w:t>
      </w:r>
      <w:r>
        <w:rPr>
          <w:rFonts w:eastAsia="Malgun Gothic"/>
        </w:rPr>
        <w:t xml:space="preserve"> subject to NSAC</w:t>
      </w:r>
      <w:r>
        <w:t>.</w:t>
      </w:r>
    </w:p>
    <w:p>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57"/>
      </w:pPr>
      <w:r>
        <w:t>NOTE 11:</w:t>
      </w:r>
      <w:r>
        <w:tab/>
      </w:r>
      <w:r>
        <w:t>Based on network policies, the AMF can include the S-NSSAI(s) for which the maximum number of UEs has been reached in the rejected NSSAI with rejection causes other than "S-NSSAI not available in the current registration area".</w:t>
      </w:r>
    </w:p>
    <w:p>
      <w:r>
        <w:t>The AMF may include a new configured NSSAI for the current PLMN in the REGISTRATION ACCEPT message if:</w:t>
      </w:r>
    </w:p>
    <w:p>
      <w:pPr>
        <w:pStyle w:val="76"/>
      </w:pPr>
      <w:r>
        <w:t>a)</w:t>
      </w:r>
      <w:r>
        <w:tab/>
      </w:r>
      <w:r>
        <w:t xml:space="preserve">the REGISTRATION REQUEST message did not include the requested NSSAI and the initial registration </w:t>
      </w:r>
      <w:r>
        <w:rPr>
          <w:rFonts w:hint="eastAsia"/>
          <w:lang w:eastAsia="zh-CN"/>
        </w:rPr>
        <w:t>re</w:t>
      </w:r>
      <w:r>
        <w:t>quest is not for onboarding services in SNPN;</w:t>
      </w:r>
    </w:p>
    <w:p>
      <w:pPr>
        <w:pStyle w:val="76"/>
      </w:pPr>
      <w:r>
        <w:t>b)</w:t>
      </w:r>
      <w:r>
        <w:tab/>
      </w:r>
      <w:r>
        <w:t>the REGISTRATION REQUEST message included the requested NSSAI containing an S-NSSAI that is not valid in the serving PLMN;</w:t>
      </w:r>
    </w:p>
    <w:p>
      <w:pPr>
        <w:pStyle w:val="76"/>
      </w:pPr>
      <w:r>
        <w:t>c)</w:t>
      </w:r>
      <w:r>
        <w:tab/>
      </w:r>
      <w:r>
        <w:t>the REGISTRATION REQUEST message included the requested NSSAI containing S-NSSAI(s) with incorrect mapped S-NSSAI(s);</w:t>
      </w:r>
    </w:p>
    <w:p>
      <w:pPr>
        <w:pStyle w:val="76"/>
      </w:pPr>
      <w:r>
        <w:t>d)</w:t>
      </w:r>
      <w:r>
        <w:tab/>
      </w:r>
      <w:r>
        <w:t>the REGISTRATION REQUEST message included the Network slicing indication IE with the Default configured NSSAI indication bit set to "Requested NSSAI created from default configured NSSAI"; or</w:t>
      </w:r>
    </w:p>
    <w:p>
      <w:pPr>
        <w:pStyle w:val="76"/>
      </w:pPr>
      <w:r>
        <w:t>e)</w:t>
      </w:r>
      <w:r>
        <w:tab/>
      </w:r>
      <w:r>
        <w:t>any two S-NSSAIs of the requested NSSAI in the REGISTRATION REQUEST message are not associated with any common NSSRG value.</w:t>
      </w:r>
    </w:p>
    <w:p>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
        <w:t>If a new configured NSSAI for the current PLMN is included in the REGISTRATION ACCEPT message, the subscription information includes the NSSRG information, and the NSSRG bit in the 5GMM capability IE of the REGISTRATION REQUEST message is set to:</w:t>
      </w:r>
    </w:p>
    <w:p>
      <w:pPr>
        <w:pStyle w:val="76"/>
      </w:pPr>
      <w:r>
        <w:t>a)</w:t>
      </w:r>
      <w:r>
        <w:tab/>
      </w:r>
      <w:r>
        <w:t>"NSSRG supported", then the AMF shall include the NSSRG information in the REGISTRATION ACCEPT message; or</w:t>
      </w:r>
    </w:p>
    <w:p>
      <w:pPr>
        <w:pStyle w:val="76"/>
      </w:pPr>
      <w:r>
        <w:t>b)</w:t>
      </w:r>
      <w:r>
        <w:tab/>
      </w:r>
      <w:r>
        <w:t>"NSSRG not supported", then the configured NSSAI shall include one or more S-NSSAIs each of which is associated with all the NSSRG value(s) of the subscribed S-NSSAI(s) marked as default.</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76"/>
      </w:pPr>
      <w:r>
        <w:t>"S</w:t>
      </w:r>
      <w:r>
        <w:rPr>
          <w:rFonts w:hint="eastAsia"/>
        </w:rPr>
        <w:t>-NSSAI</w:t>
      </w:r>
      <w:r>
        <w:t xml:space="preserve"> not available in the current PLMN or SNPN"</w:t>
      </w:r>
    </w:p>
    <w:p>
      <w:pPr>
        <w:pStyle w:val="76"/>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pPr>
        <w:pStyle w:val="76"/>
      </w:pPr>
      <w:r>
        <w:t>"S</w:t>
      </w:r>
      <w:r>
        <w:rPr>
          <w:rFonts w:hint="eastAsia"/>
        </w:rPr>
        <w:t>-NSSAI</w:t>
      </w:r>
      <w:r>
        <w:t xml:space="preserve"> not available in the current registration area"</w:t>
      </w:r>
    </w:p>
    <w:p>
      <w:pPr>
        <w:pStyle w:val="76"/>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or deleted as described in subclause 4.6.2.2.</w:t>
      </w:r>
    </w:p>
    <w:p>
      <w:pPr>
        <w:pStyle w:val="76"/>
        <w:rPr>
          <w:lang w:eastAsia="zh-CN"/>
        </w:rPr>
      </w:pPr>
      <w:r>
        <w:t>"S</w:t>
      </w:r>
      <w:r>
        <w:rPr>
          <w:rFonts w:hint="eastAsia"/>
        </w:rPr>
        <w:t>-NSSAI</w:t>
      </w:r>
      <w:r>
        <w:t xml:space="preserve"> not available due to the failed or revoked network slice-specific authentication and authorization"</w:t>
      </w:r>
    </w:p>
    <w:p>
      <w:pPr>
        <w:pStyle w:val="76"/>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pPr>
        <w:pStyle w:val="76"/>
      </w:pPr>
      <w:r>
        <w:t>"S-NSSAI not available due to maximum number of UEs reached"</w:t>
      </w:r>
    </w:p>
    <w:p>
      <w:pPr>
        <w:pStyle w:val="76"/>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pPr>
        <w:pStyle w:val="57"/>
        <w:rPr>
          <w:lang w:eastAsia="zh-CN"/>
        </w:rPr>
      </w:pPr>
      <w:r>
        <w:t>NOTE 12:</w:t>
      </w:r>
      <w:r>
        <w:tab/>
      </w:r>
      <w:r>
        <w:t>If the back-off timer value received along with the S-NSSAI in the rejected NSSAI for the maximum number of UEs reached is zero as specified in subclause 10.5.7.4a of TS 24.008, the UE does not consider the S-NSSAI as the rejected S-NSSAI.</w:t>
      </w:r>
    </w:p>
    <w:p>
      <w:pPr>
        <w:pStyle w:val="75"/>
        <w:rPr>
          <w:lang w:eastAsia="zh-CN"/>
        </w:rPr>
      </w:pPr>
      <w:r>
        <w:rPr>
          <w:lang w:val="en-US"/>
        </w:rPr>
        <w:t>Editor's note [</w:t>
      </w:r>
      <w:r>
        <w:t>WI: eNS-Ph2, CR#</w:t>
      </w:r>
      <w:r>
        <w:rPr>
          <w:rFonts w:hint="eastAsia"/>
          <w:lang w:eastAsia="zh-CN"/>
        </w:rPr>
        <w:t>3417</w:t>
      </w:r>
      <w:r>
        <w:rPr>
          <w:lang w:val="en-US"/>
        </w:rPr>
        <w:t>]:</w:t>
      </w:r>
      <w:r>
        <w:rPr>
          <w:lang w:val="en-US"/>
        </w:rPr>
        <w:tab/>
      </w:r>
      <w:r>
        <w:rPr>
          <w:lang w:val="en-US"/>
        </w:rPr>
        <w:t>Wh</w:t>
      </w:r>
      <w:r>
        <w:rPr>
          <w:rFonts w:hint="eastAsia"/>
          <w:lang w:val="en-US" w:eastAsia="zh-CN"/>
        </w:rPr>
        <w:t xml:space="preserve">ether </w:t>
      </w:r>
      <w:r>
        <w:t>"S-NSSAI not available due to maximum number of UEs reached"</w:t>
      </w:r>
      <w:r>
        <w:rPr>
          <w:rFonts w:hint="eastAsia"/>
          <w:lang w:eastAsia="zh-CN"/>
        </w:rPr>
        <w:t xml:space="preserve"> is applicable in </w:t>
      </w:r>
      <w:r>
        <w:rPr>
          <w:rFonts w:hint="eastAsia"/>
          <w:lang w:val="en-US" w:eastAsia="zh-CN"/>
        </w:rPr>
        <w:t xml:space="preserve">an SNPN </w:t>
      </w:r>
      <w:r>
        <w:t>is FFS.</w:t>
      </w:r>
    </w:p>
    <w:p>
      <w:r>
        <w:t>If there is one or more S-NSSAIs in the rejected NSSAI with the rejection cause "S-NSSAI not available due to maximum number of UEs reached", then for each S-NSSAI, the UE shall behave as follows:</w:t>
      </w:r>
    </w:p>
    <w:p>
      <w:pPr>
        <w:pStyle w:val="76"/>
      </w:pPr>
      <w:r>
        <w:t>a)</w:t>
      </w:r>
      <w:r>
        <w:tab/>
      </w:r>
      <w:r>
        <w:t>stop the timer T3526 associated with the S-NSSAI, if running;</w:t>
      </w:r>
    </w:p>
    <w:p>
      <w:pPr>
        <w:pStyle w:val="76"/>
      </w:pPr>
      <w:r>
        <w:t>b)</w:t>
      </w:r>
      <w:r>
        <w:tab/>
      </w:r>
      <w:r>
        <w:t>start the timer T3526 with:</w:t>
      </w:r>
    </w:p>
    <w:p>
      <w:pPr>
        <w:pStyle w:val="77"/>
      </w:pPr>
      <w:r>
        <w:t>1)</w:t>
      </w:r>
      <w:r>
        <w:tab/>
      </w:r>
      <w:r>
        <w:t>the back-off timer value received along with the S-NSSAI, if a back-off timer value is received along with the S-NSSAI that is neither zero nor deactivated; or</w:t>
      </w:r>
    </w:p>
    <w:p>
      <w:pPr>
        <w:pStyle w:val="77"/>
      </w:pPr>
      <w:r>
        <w:t>2)</w:t>
      </w:r>
      <w:r>
        <w:tab/>
      </w:r>
      <w:r>
        <w:t>an implementation specific back-off timer value, if no back-off timer value is received along with the S-NSSAI; and</w:t>
      </w:r>
    </w:p>
    <w:p>
      <w:pPr>
        <w:pStyle w:val="76"/>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76"/>
        <w:rPr>
          <w:rFonts w:eastAsia="Malgun Gothic"/>
        </w:rPr>
      </w:pPr>
      <w:r>
        <w:t>a)</w:t>
      </w:r>
      <w:r>
        <w:tab/>
      </w:r>
      <w:r>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pPr>
        <w:pStyle w:val="77"/>
      </w:pPr>
      <w:r>
        <w:t>1)</w:t>
      </w:r>
      <w:r>
        <w:tab/>
      </w:r>
      <w:r>
        <w:t>the allowed NSSAI containing S-NSSAI(s)</w:t>
      </w:r>
      <w:r>
        <w:rPr>
          <w:rFonts w:hint="eastAsia"/>
        </w:rPr>
        <w:t xml:space="preserve"> </w:t>
      </w:r>
      <w:r>
        <w:t>for the current PLMN each of which corresponds to a</w:t>
      </w:r>
      <w:r>
        <w:rPr>
          <w:rFonts w:eastAsia="Malgun Gothic"/>
        </w:rPr>
        <w:t xml:space="preserve"> </w:t>
      </w:r>
      <w:r>
        <w:t>subscribed S-NSSAI marked as default which are not subject to network slice-specific authentication and authorization;</w:t>
      </w:r>
    </w:p>
    <w:p>
      <w:pPr>
        <w:pStyle w:val="77"/>
      </w:pPr>
      <w:r>
        <w:t>2)</w:t>
      </w:r>
      <w:r>
        <w:tab/>
      </w:r>
      <w:r>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77"/>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pPr>
        <w:pStyle w:val="76"/>
      </w:pPr>
      <w:r>
        <w:t>b)</w:t>
      </w:r>
      <w:r>
        <w:tab/>
      </w:r>
      <w:r>
        <w:t>if the Requested NSSAI IE includes one or more S-NSSAIs subject to network slice-specific authentication and authorization, the AMF shall in the REGISTRATION ACCEPT message include:</w:t>
      </w:r>
    </w:p>
    <w:p>
      <w:pPr>
        <w:pStyle w:val="77"/>
      </w:pPr>
      <w:r>
        <w:t>1)</w:t>
      </w:r>
      <w:r>
        <w:tab/>
      </w:r>
      <w:r>
        <w:t>the allowed NSSAI containing the S-NSSAI(s) or the mapped S-NSSAI(s) which are not subject to network slice-specific authentication and authorization; and</w:t>
      </w:r>
    </w:p>
    <w:p>
      <w:pPr>
        <w:pStyle w:val="77"/>
        <w:rPr>
          <w:lang w:eastAsia="zh-CN"/>
        </w:rPr>
      </w:pPr>
      <w:r>
        <w:t>2)</w:t>
      </w:r>
      <w:r>
        <w:tab/>
      </w:r>
      <w:r>
        <w:rPr>
          <w:rFonts w:eastAsia="Malgun Gothic"/>
        </w:rPr>
        <w:t>the r</w:t>
      </w:r>
      <w:r>
        <w:rPr>
          <w:lang w:eastAsia="zh-CN"/>
        </w:rPr>
        <w:t>ejected NSSAI containing:</w:t>
      </w:r>
    </w:p>
    <w:p>
      <w:pPr>
        <w:pStyle w:val="78"/>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pPr>
        <w:pStyle w:val="78"/>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pPr>
        <w:pStyle w:val="76"/>
        <w:rPr>
          <w:lang w:eastAsia="zh-CN"/>
        </w:rPr>
      </w:pPr>
      <w:r>
        <w:t>a)</w:t>
      </w:r>
      <w:r>
        <w:tab/>
      </w:r>
      <w:r>
        <w:t>the UE did not include the requested NSSAI in the REGISTRATION REQUEST message; or</w:t>
      </w:r>
    </w:p>
    <w:p>
      <w:pPr>
        <w:pStyle w:val="76"/>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
        <w:t>and one or more subscribed S-NSSAIs (containing one or more S-NSSAIs each of which may be associated with a new S-NSSAI) marked as default which are not subject to network slice-specific authentication and authorization are available, the AMF shall:</w:t>
      </w:r>
    </w:p>
    <w:p>
      <w:pPr>
        <w:pStyle w:val="76"/>
      </w:pPr>
      <w:r>
        <w:t>a)</w:t>
      </w:r>
      <w:r>
        <w:tab/>
      </w:r>
      <w:r>
        <w:t xml:space="preserve">put </w:t>
      </w:r>
      <w:r>
        <w:rPr>
          <w:rFonts w:hint="eastAsia"/>
        </w:rPr>
        <w:t>the a</w:t>
      </w:r>
      <w:r>
        <w:t>llowed S-NSSAI(s)</w:t>
      </w:r>
      <w:r>
        <w:rPr>
          <w:rFonts w:hint="eastAsia"/>
        </w:rPr>
        <w:t xml:space="preserve"> </w:t>
      </w:r>
      <w:r>
        <w:t>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pPr>
        <w:pStyle w:val="76"/>
        <w:rPr>
          <w:lang w:eastAsia="ko-KR"/>
        </w:rPr>
      </w:pPr>
      <w:r>
        <w:t>b)</w:t>
      </w:r>
      <w:r>
        <w:tab/>
      </w:r>
      <w:r>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76"/>
        <w:rPr>
          <w:lang w:eastAsia="zh-CN"/>
        </w:rPr>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rPr>
          <w:rFonts w:eastAsia="Malgun Gothic"/>
        </w:rPr>
        <w:t>a</w:t>
      </w:r>
      <w:r>
        <w:rPr>
          <w:rFonts w:hint="eastAsia" w:eastAsia="Malgun Gothic"/>
        </w:rPr>
        <w:t xml:space="preserve">llowed NSSAI, </w:t>
      </w:r>
      <w:r>
        <w:rPr>
          <w:rFonts w:eastAsia="Malgun Gothic"/>
        </w:rPr>
        <w:t>then the UE shall store the included a</w:t>
      </w:r>
      <w:r>
        <w:rPr>
          <w:rFonts w:hint="eastAsia" w:eastAsia="Malgun Gothic"/>
        </w:rPr>
        <w:t>llowed NSSAI</w:t>
      </w:r>
      <w:r>
        <w:rPr>
          <w:rFonts w:eastAsia="Malgun Gothic"/>
        </w:rPr>
        <w:t xml:space="preserve"> together with the PLMN identity of the registered PLMN</w:t>
      </w:r>
      <w:r>
        <w:rPr>
          <w:rFonts w:hint="eastAsia"/>
        </w:rPr>
        <w:t xml:space="preserve"> and the registration area</w:t>
      </w:r>
      <w:r>
        <w:rPr>
          <w:rFonts w:eastAsia="Malgun Gothic"/>
        </w:rPr>
        <w:t xml:space="preserve"> as specified in </w:t>
      </w:r>
      <w:r>
        <w:rPr>
          <w:rFonts w:hint="eastAsia" w:eastAsia="Malgun Gothic"/>
        </w:rPr>
        <w:t>subclause</w:t>
      </w:r>
      <w:r>
        <w:rPr>
          <w:rFonts w:eastAsia="Malgun Gothic"/>
        </w:rPr>
        <w:t> 4.6.2.2</w:t>
      </w:r>
      <w:r>
        <w:rPr>
          <w:rFonts w:hint="eastAsia" w:eastAsia="Malgun Gothic"/>
        </w:rPr>
        <w:t>.</w:t>
      </w:r>
      <w:r>
        <w:t xml:space="preserve"> If the registration area contains TAIs belonging to different PLMNs, which are equivalent PLMNs, the UE shall store the received allowed NSSAI in each of allowed NSSAIs which are associated with each of the PLMNs.</w:t>
      </w:r>
    </w:p>
    <w:p>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76"/>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76"/>
      </w:pPr>
      <w:r>
        <w:t>b)</w:t>
      </w:r>
      <w:r>
        <w:tab/>
      </w:r>
      <w:r>
        <w:rPr>
          <w:rFonts w:eastAsia="Malgun Gothic"/>
        </w:rPr>
        <w:t>includes</w:t>
      </w:r>
      <w:r>
        <w:t xml:space="preserve"> a pending NSSAI; and</w:t>
      </w:r>
    </w:p>
    <w:p>
      <w:pPr>
        <w:pStyle w:val="76"/>
      </w:pPr>
      <w:r>
        <w:t>c)</w:t>
      </w:r>
      <w:r>
        <w:tab/>
      </w:r>
      <w:r>
        <w:t>does not include an allowed NSSAI,</w:t>
      </w:r>
    </w:p>
    <w:p>
      <w:r>
        <w:t>the UE</w:t>
      </w:r>
      <w:r>
        <w:rPr>
          <w:rFonts w:hint="eastAsia"/>
          <w:lang w:eastAsia="zh-CN"/>
        </w:rPr>
        <w:t xml:space="preserve"> shall</w:t>
      </w:r>
      <w:r>
        <w:t xml:space="preserve"> delete the stored allowed NSSAI, if any, as specified in subclause 4.6.2.2, and the UE:</w:t>
      </w:r>
    </w:p>
    <w:p>
      <w:pPr>
        <w:pStyle w:val="76"/>
      </w:pPr>
      <w:r>
        <w:t>a)</w:t>
      </w:r>
      <w:r>
        <w:tab/>
      </w:r>
      <w:r>
        <w:t>shall not initiate a 5GSM procedure except for emergency services ; and</w:t>
      </w:r>
    </w:p>
    <w:p>
      <w:pPr>
        <w:pStyle w:val="76"/>
      </w:pPr>
      <w:r>
        <w:t>b)</w:t>
      </w:r>
      <w:r>
        <w:tab/>
      </w:r>
      <w:r>
        <w:t>shall not initiate a service request procedure except for cases f), i) and o) in subclause 5.6.1.1;</w:t>
      </w:r>
    </w:p>
    <w:p>
      <w:pPr>
        <w:pStyle w:val="76"/>
      </w:pPr>
      <w:r>
        <w:t>c)</w:t>
      </w:r>
      <w:r>
        <w:tab/>
      </w:r>
      <w:r>
        <w:t>shall not initiate an NAS transport procedure except for sending SMS, an LPP message, a location service message, an SOR transparent container, a UE policy container, a UE parameters update transparent container or a CIoT user data container;</w:t>
      </w:r>
    </w:p>
    <w:p>
      <w:pPr>
        <w:rPr>
          <w:rFonts w:eastAsia="Malgun Gothic"/>
        </w:rPr>
      </w:pPr>
      <w:r>
        <w:rPr>
          <w:rFonts w:eastAsia="Malgun Gothic"/>
        </w:rPr>
        <w:t>until the UE receives an allowed NSSAI.</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76"/>
        <w:rPr>
          <w:rFonts w:eastAsia="Malgun Gothic"/>
        </w:rPr>
      </w:pPr>
      <w:r>
        <w:rPr>
          <w:rFonts w:eastAsia="Malgun Gothic"/>
        </w:rPr>
        <w:t>a)</w:t>
      </w:r>
      <w:r>
        <w:rPr>
          <w:rFonts w:eastAsia="Malgun Gothic"/>
        </w:rPr>
        <w:tab/>
      </w:r>
      <w:r>
        <w:rPr>
          <w:rFonts w:eastAsia="Malgun Gothic"/>
        </w:rPr>
        <w:t>"</w:t>
      </w:r>
      <w:r>
        <w:t>interworking without N26 interface not supported</w:t>
      </w:r>
      <w:r>
        <w:rPr>
          <w:rFonts w:eastAsia="Malgun Gothic"/>
        </w:rPr>
        <w:t>" if the AMF supports N26 interface; or</w:t>
      </w:r>
    </w:p>
    <w:p>
      <w:pPr>
        <w:pStyle w:val="76"/>
        <w:rPr>
          <w:rFonts w:eastAsia="Malgun Gothic"/>
        </w:rPr>
      </w:pPr>
      <w:r>
        <w:rPr>
          <w:rFonts w:eastAsia="Malgun Gothic"/>
        </w:rPr>
        <w:t>b)</w:t>
      </w:r>
      <w:r>
        <w:rPr>
          <w:rFonts w:eastAsia="Malgun Gothic"/>
        </w:rPr>
        <w:tab/>
      </w:r>
      <w:r>
        <w:rPr>
          <w:rFonts w:eastAsia="Malgun Gothic"/>
        </w:rPr>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76"/>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76"/>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57"/>
        <w:rPr>
          <w:rFonts w:eastAsia="Malgun Gothic"/>
        </w:rPr>
      </w:pPr>
      <w:r>
        <w:t>NOTE 13</w:t>
      </w:r>
      <w:r>
        <w:rPr>
          <w:rFonts w:eastAsia="Malgun Gothic"/>
        </w:rPr>
        <w:t>:</w:t>
      </w:r>
      <w:r>
        <w:rPr>
          <w:rFonts w:eastAsia="Malgun Gothic"/>
        </w:rPr>
        <w:tab/>
      </w:r>
      <w:r>
        <w:rPr>
          <w:rFonts w:eastAsia="Malgun Gothic"/>
        </w:rPr>
        <w:t>The registration mode used by the UE is implementation dependent.</w:t>
      </w:r>
    </w:p>
    <w:p>
      <w:pPr>
        <w:pStyle w:val="76"/>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rPr>
          <w:rFonts w:hint="eastAsia"/>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Pr>
          <w:rFonts w:hint="eastAsia"/>
          <w:lang w:eastAsia="ja-JP"/>
        </w:rPr>
        <w:t>In a UE with LCS capability, location services indicator (5G-LCS) shall be provided to the upper layers</w:t>
      </w:r>
      <w:r>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r>
        <w:t>The AMF shall set the EMF bit in the 5GS network feature support IE to:</w:t>
      </w:r>
    </w:p>
    <w:p>
      <w:pPr>
        <w:pStyle w:val="76"/>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76"/>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76"/>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76"/>
      </w:pPr>
      <w:r>
        <w:t>d)</w:t>
      </w:r>
      <w:r>
        <w:tab/>
      </w:r>
      <w:r>
        <w:t>"Emergency services fallback not supported" if network does not support the emergency services fallback procedure when the UE is in any cell connected to 5GCN.</w:t>
      </w:r>
    </w:p>
    <w:p>
      <w:pPr>
        <w:pStyle w:val="57"/>
      </w:pPr>
      <w:r>
        <w:t>NOTE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57"/>
      </w:pPr>
      <w:r>
        <w:t>NOTE 15</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is not operating in SNPN access operation mode:</w:t>
      </w:r>
    </w:p>
    <w:p>
      <w:pPr>
        <w:pStyle w:val="76"/>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76"/>
      </w:pPr>
      <w:r>
        <w:t>b)</w:t>
      </w:r>
      <w:r>
        <w:tab/>
      </w:r>
      <w:r>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pPr>
        <w:pStyle w:val="76"/>
      </w:pPr>
      <w:r>
        <w:t>c)</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pPr>
        <w:pStyle w:val="76"/>
      </w:pPr>
      <w:r>
        <w:t>d)</w:t>
      </w:r>
      <w:r>
        <w:tab/>
      </w:r>
      <w:r>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
        <w:t>If the UE is operating in SNPN access operation mode:</w:t>
      </w:r>
    </w:p>
    <w:p>
      <w:pPr>
        <w:pStyle w:val="76"/>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76"/>
      </w:pPr>
      <w:r>
        <w:t>b)</w:t>
      </w:r>
      <w:r>
        <w:tab/>
      </w:r>
      <w:r>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pPr>
        <w:pStyle w:val="76"/>
      </w:pPr>
      <w:r>
        <w:t>c)</w:t>
      </w:r>
      <w:r>
        <w:tab/>
      </w:r>
      <w:r>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pPr>
        <w:pStyle w:val="76"/>
      </w:pPr>
      <w:r>
        <w:t>d)</w:t>
      </w:r>
      <w:r>
        <w:tab/>
      </w:r>
      <w:r>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
        <w:t>If the UE indicates support for restriction on use of enhanced coverage in the REGISTRATION REQUEST message and:</w:t>
      </w:r>
    </w:p>
    <w:p>
      <w:pPr>
        <w:pStyle w:val="76"/>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76"/>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76"/>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76"/>
      </w:pPr>
      <w:r>
        <w:t>-</w:t>
      </w:r>
      <w:r>
        <w:tab/>
      </w:r>
      <w:r>
        <w:t>the reject paging request bit to "reject paging request supported";</w:t>
      </w:r>
    </w:p>
    <w:p>
      <w:pPr>
        <w:pStyle w:val="76"/>
      </w:pPr>
      <w:r>
        <w:t>-</w:t>
      </w:r>
      <w:r>
        <w:tab/>
      </w:r>
      <w:r>
        <w:t>the N1 NAS signalling connection release bit to "N1 NAS signalling connection release supported"; or</w:t>
      </w:r>
    </w:p>
    <w:p>
      <w:pPr>
        <w:pStyle w:val="76"/>
      </w:pPr>
      <w:r>
        <w:t>-</w:t>
      </w:r>
      <w:r>
        <w:tab/>
      </w:r>
      <w:r>
        <w:t>both of them;</w:t>
      </w:r>
    </w:p>
    <w:p>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76"/>
      </w:pPr>
      <w:r>
        <w:t>a)</w:t>
      </w:r>
      <w:r>
        <w:tab/>
      </w:r>
      <w:r>
        <w:t>at least one of the following bits in the 5GMM capability IE of the REGISTRATION REQUEST message set by the UE, or already stored in the 5GMM context in the AMF during the previous registration procedure as follows:</w:t>
      </w:r>
    </w:p>
    <w:p>
      <w:pPr>
        <w:pStyle w:val="77"/>
      </w:pPr>
      <w:r>
        <w:t>1)</w:t>
      </w:r>
      <w:r>
        <w:tab/>
      </w:r>
      <w:r>
        <w:t>the V2XCEPC5 bit to "V2X communication over E-UTRA-PC5 supported"; or</w:t>
      </w:r>
    </w:p>
    <w:p>
      <w:pPr>
        <w:pStyle w:val="77"/>
      </w:pPr>
      <w:r>
        <w:t>2)</w:t>
      </w:r>
      <w:r>
        <w:tab/>
      </w:r>
      <w:r>
        <w:t>the V2XCNPC5 bit to "V2X communication over NR-PC5 supported"; and</w:t>
      </w:r>
    </w:p>
    <w:p>
      <w:pPr>
        <w:pStyle w:val="76"/>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ProSe services based on</w:t>
      </w:r>
      <w:r>
        <w:rPr>
          <w:lang w:eastAsia="ko-KR"/>
        </w:rPr>
        <w:t>:</w:t>
      </w:r>
    </w:p>
    <w:p>
      <w:pPr>
        <w:pStyle w:val="76"/>
      </w:pPr>
      <w:r>
        <w:t>a)</w:t>
      </w:r>
      <w:r>
        <w:tab/>
      </w:r>
      <w:r>
        <w:t>at least one of the following bits in the 5GMM capability IE of the REGISTRATION REQUEST message set by the UE, or already stored in the 5GMM context in the AMF during the previous registration procedure as follows:</w:t>
      </w:r>
    </w:p>
    <w:p>
      <w:pPr>
        <w:pStyle w:val="77"/>
      </w:pPr>
      <w:r>
        <w:t>1)</w:t>
      </w:r>
      <w:r>
        <w:tab/>
      </w:r>
      <w:r>
        <w:t>the ProSe direct discovery bit to "ProSe direct discovery supported"; or</w:t>
      </w:r>
    </w:p>
    <w:p>
      <w:pPr>
        <w:pStyle w:val="77"/>
      </w:pPr>
      <w:r>
        <w:t>2)</w:t>
      </w:r>
      <w:r>
        <w:tab/>
      </w:r>
      <w:r>
        <w:t>the ProSe direct communication bit to "ProSe direct communication supported"; and</w:t>
      </w:r>
    </w:p>
    <w:p>
      <w:pPr>
        <w:pStyle w:val="76"/>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and the</w:t>
      </w:r>
      <w:r>
        <w:t xml:space="preserve"> user's subscription context obtained from the UDM</w:t>
      </w:r>
      <w:r>
        <w:rPr>
          <w:rFonts w:hint="eastAsia"/>
          <w:lang w:eastAsia="zh-CN"/>
        </w:rPr>
        <w:t xml:space="preserve"> if available.</w:t>
      </w:r>
    </w:p>
    <w:p>
      <w:r>
        <w:t>If:</w:t>
      </w:r>
    </w:p>
    <w:p>
      <w:pPr>
        <w:pStyle w:val="76"/>
      </w:pPr>
      <w:r>
        <w:t>a)</w:t>
      </w:r>
      <w:r>
        <w:tab/>
      </w:r>
      <w:r>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76"/>
      </w:pPr>
      <w:r>
        <w:t>b)</w:t>
      </w:r>
      <w:r>
        <w:tab/>
      </w:r>
      <w:r>
        <w:t>if the UE attempts obtaining service on another PLMNs as specified in 3GPP TS 23.122 [5] annex C;</w:t>
      </w:r>
    </w:p>
    <w:p>
      <w:pPr>
        <w:rPr>
          <w:color w:val="000000"/>
        </w:rPr>
      </w:pPr>
      <w:r>
        <w:t>then the UE shall locally release the established N1 NAS signalling connection after sending a REGISTRATION COMPLETE message.</w:t>
      </w:r>
    </w:p>
    <w:p>
      <w:r>
        <w:t>If:</w:t>
      </w:r>
    </w:p>
    <w:p>
      <w:pPr>
        <w:pStyle w:val="76"/>
      </w:pPr>
      <w:r>
        <w:t>a)</w:t>
      </w:r>
      <w:r>
        <w:tab/>
      </w:r>
      <w:r>
        <w:t>the UE's USIM is configured with indication that the UE is to receive the SOR transparent container IE, the SOR transparent container IE is not included in the REGISTRATION ACCEPT message; and</w:t>
      </w:r>
    </w:p>
    <w:p>
      <w:pPr>
        <w:pStyle w:val="76"/>
      </w:pPr>
      <w:r>
        <w:t>b)</w:t>
      </w:r>
      <w:r>
        <w:tab/>
      </w:r>
      <w:r>
        <w:t>the UE attempts obtaining service on another PLMNs as specified in 3GPP TS 23.122 [5] annex C;</w:t>
      </w:r>
    </w:p>
    <w:p>
      <w:r>
        <w:t>then the UE shall locally release the established N1 NAS signalling connection.</w:t>
      </w:r>
    </w:p>
    <w:p>
      <w:r>
        <w:t>If:</w:t>
      </w:r>
    </w:p>
    <w:p>
      <w:pPr>
        <w:pStyle w:val="76"/>
      </w:pPr>
      <w:r>
        <w:t>a)</w:t>
      </w:r>
      <w:r>
        <w:tab/>
      </w:r>
      <w:r>
        <w:t>the UE operates in SNPN access operation mode;</w:t>
      </w:r>
    </w:p>
    <w:p>
      <w:pPr>
        <w:pStyle w:val="76"/>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76"/>
      </w:pPr>
      <w:r>
        <w:t>c)</w:t>
      </w:r>
      <w:r>
        <w:tab/>
      </w:r>
      <w:r>
        <w:t>the SOR transparent container IE included in the REGISTRATION ACCEPT message does not successfully pass the integrity check (see 3GPP TS 33.501 [24]); and</w:t>
      </w:r>
    </w:p>
    <w:p>
      <w:pPr>
        <w:pStyle w:val="76"/>
      </w:pPr>
      <w:r>
        <w:t>d)</w:t>
      </w:r>
      <w:r>
        <w:tab/>
      </w:r>
      <w:r>
        <w:t>the UE attempts obtaining service on another SNPN as specified in 3GPP TS 23.122 [5] annex C;</w:t>
      </w:r>
    </w:p>
    <w:p>
      <w:pPr>
        <w:rPr>
          <w:color w:val="000000"/>
        </w:rPr>
      </w:pPr>
      <w:r>
        <w:t xml:space="preserve">then the UE shall locally release the established N1 NAS signalling connection </w:t>
      </w:r>
      <w:r>
        <w:rPr>
          <w:color w:val="000000"/>
        </w:rPr>
        <w:t>after sending a REGISTRATION COMPLETE message.</w:t>
      </w:r>
    </w:p>
    <w:p>
      <w:r>
        <w:t>If:</w:t>
      </w:r>
    </w:p>
    <w:p>
      <w:pPr>
        <w:pStyle w:val="76"/>
      </w:pPr>
      <w:r>
        <w:t>a)</w:t>
      </w:r>
      <w:r>
        <w:tab/>
      </w:r>
      <w:r>
        <w:t>the UE operates in SNPN access operation mode;</w:t>
      </w:r>
    </w:p>
    <w:p>
      <w:pPr>
        <w:pStyle w:val="76"/>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76"/>
      </w:pPr>
      <w:r>
        <w:t>c)</w:t>
      </w:r>
      <w:r>
        <w:tab/>
      </w:r>
      <w:r>
        <w:t>the SOR transparent container IE is not included in the REGISTRATION ACCEPT message; and</w:t>
      </w:r>
    </w:p>
    <w:p>
      <w:pPr>
        <w:pStyle w:val="76"/>
      </w:pPr>
      <w:r>
        <w:t>d)</w:t>
      </w:r>
      <w:r>
        <w:tab/>
      </w:r>
      <w:r>
        <w:t>the UE attempts obtaining service on another SNPN as specified in 3GPP TS 23.122 [5] annex C;</w:t>
      </w:r>
    </w:p>
    <w:p>
      <w:r>
        <w:t>then the UE shall locally release the established N1 NAS signalling connection.</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76"/>
      </w:pPr>
      <w:r>
        <w:t>a)</w:t>
      </w:r>
      <w:r>
        <w:tab/>
      </w:r>
      <w:r>
        <w:t xml:space="preserve">the UE shall proceed with the behaviour as specified in </w:t>
      </w:r>
      <w:r>
        <w:rPr>
          <w:lang w:eastAsia="ko-KR"/>
        </w:rPr>
        <w:t>3GPP TS 23.122 [5] annex C; and</w:t>
      </w:r>
    </w:p>
    <w:p>
      <w:pPr>
        <w:pStyle w:val="76"/>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w:t>
      </w:r>
    </w:p>
    <w:p>
      <w:r>
        <w:rPr>
          <w:lang w:eastAsia="ko-KR"/>
        </w:rPr>
        <w:t xml:space="preserve">If the SOR transparent container IE </w:t>
      </w:r>
      <w:r>
        <w:t>successfully passes the integrity check (see 3GPP TS 33.501 [24]) and:</w:t>
      </w:r>
    </w:p>
    <w:p>
      <w:pPr>
        <w:pStyle w:val="76"/>
        <w:rPr>
          <w:lang w:eastAsia="ko-KR"/>
        </w:rPr>
      </w:pPr>
      <w:r>
        <w:t>a)</w:t>
      </w:r>
      <w:r>
        <w:tab/>
      </w:r>
      <w:r>
        <w:rPr>
          <w:lang w:eastAsia="ko-KR"/>
        </w:rPr>
        <w:t xml:space="preserve">indicates </w:t>
      </w:r>
      <w:r>
        <w:t xml:space="preserve">list of preferred PLMN/access technology combinations is provided and the list type </w:t>
      </w:r>
      <w:r>
        <w:rPr>
          <w:lang w:eastAsia="ko-KR"/>
        </w:rPr>
        <w:t>indicates:</w:t>
      </w:r>
    </w:p>
    <w:p>
      <w:pPr>
        <w:pStyle w:val="77"/>
      </w:pPr>
      <w:r>
        <w:t>1)</w:t>
      </w:r>
      <w:r>
        <w:tab/>
      </w:r>
      <w:r>
        <w:t>"PLMN ID and access technology list", then the ME shall replace the highest priority entries in the "Operator Controlled PLMN Selector with Access Technology" list stored in the ME and shall proceed with the behaviour as specified in 3GPP TS 23.122 [5] annex C; or</w:t>
      </w:r>
    </w:p>
    <w:p>
      <w:pPr>
        <w:pStyle w:val="77"/>
      </w:pPr>
      <w:r>
        <w:t>2)</w:t>
      </w:r>
      <w:r>
        <w:tab/>
      </w:r>
      <w:r>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76"/>
      </w:pPr>
      <w:r>
        <w:rPr>
          <w:lang w:eastAsia="ko-KR"/>
        </w:rPr>
        <w:t>b)</w:t>
      </w:r>
      <w:r>
        <w:rPr>
          <w:lang w:eastAsia="ko-KR"/>
        </w:rPr>
        <w:tab/>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lang w:eastAsia="ko-KR"/>
        </w:rPr>
        <w:t>SOR transparent container IE</w:t>
      </w:r>
      <w:r>
        <w:t xml:space="preserve"> includes SOR-SNPN-SI, the ME shall replace SOR-SNPN-SI of the selected entry of the "list of subscriber data" or associated with the selected PLMN subscription, as specified in 3GPP TS 23.122 [5] with the received SOR-SNPN-SI.</w:t>
      </w:r>
    </w:p>
    <w:p>
      <w:pPr>
        <w:pStyle w:val="75"/>
      </w:pPr>
      <w:r>
        <w:t>Editor's note (WI eNPN, CR#3584):</w:t>
      </w:r>
      <w:r>
        <w:tab/>
      </w:r>
      <w:r>
        <w:t>Whether the UE can receive the SOR-SNPN-SI when registering or registered to a PLMN is FFS.</w:t>
      </w:r>
    </w:p>
    <w:p>
      <w:pPr>
        <w:pStyle w:val="76"/>
      </w:pPr>
      <w:r>
        <w:tab/>
      </w:r>
      <w:r>
        <w:t>If the SOR-CMCI is present and the Store SOR-CMCI in ME indicator is set to "Store SOR-CMCI in ME" then the UE shall store or delete the SOR-CMCI in the non-volatile memory of the ME as described in annex C.1.</w:t>
      </w:r>
    </w:p>
    <w:p>
      <w:pPr>
        <w:pStyle w:val="76"/>
      </w:pPr>
      <w:r>
        <w:tab/>
      </w:r>
      <w:r>
        <w:t>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76"/>
      </w:pPr>
      <w:r>
        <w:t>a)</w:t>
      </w:r>
      <w:r>
        <w:tab/>
      </w:r>
      <w:r>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area; or</w:t>
      </w:r>
    </w:p>
    <w:p>
      <w:pPr>
        <w:pStyle w:val="76"/>
      </w:pPr>
      <w:r>
        <w:t>b)</w:t>
      </w:r>
      <w:r>
        <w:tab/>
      </w:r>
      <w:r>
        <w:t>otherwise:</w:t>
      </w:r>
    </w:p>
    <w:p>
      <w:pPr>
        <w:pStyle w:val="77"/>
      </w:pPr>
      <w:r>
        <w:t>1)</w:t>
      </w:r>
      <w:r>
        <w:tab/>
      </w:r>
      <w:r>
        <w:t>if the UE has NSSAI inclusion mode for the current PLMN or SNPN and access type stored in the UE, the UE shall operate in the stored NSSAI inclusion mode;</w:t>
      </w:r>
    </w:p>
    <w:p>
      <w:pPr>
        <w:pStyle w:val="77"/>
      </w:pPr>
      <w:r>
        <w:t>2)</w:t>
      </w:r>
      <w:r>
        <w:tab/>
      </w:r>
      <w:r>
        <w:t>if the UE does not have NSSAI inclusion mode for the current PLMN or SNPN and the access type stored in the UE and if the UE is performing the registration procedure over:</w:t>
      </w:r>
    </w:p>
    <w:p>
      <w:pPr>
        <w:pStyle w:val="78"/>
      </w:pPr>
      <w:r>
        <w:t>i)</w:t>
      </w:r>
      <w:r>
        <w:tab/>
      </w:r>
      <w:r>
        <w:t>3GPP access, the UE shall operate in NSSAI inclusion mode D in the current PLMN or SNPN and</w:t>
      </w:r>
      <w:r>
        <w:rPr>
          <w:rFonts w:hint="eastAsia"/>
          <w:lang w:eastAsia="zh-CN"/>
        </w:rPr>
        <w:t xml:space="preserve"> the current</w:t>
      </w:r>
      <w:r>
        <w:t xml:space="preserve"> access type;</w:t>
      </w:r>
    </w:p>
    <w:p>
      <w:pPr>
        <w:pStyle w:val="78"/>
      </w:pPr>
      <w:r>
        <w:t>ii)</w:t>
      </w:r>
      <w:r>
        <w:tab/>
      </w:r>
      <w:r>
        <w:t>untrusted non-3GPP access, the UE shall operate in NSSAI inclusion mode B in the current PLMN and</w:t>
      </w:r>
      <w:r>
        <w:rPr>
          <w:rFonts w:hint="eastAsia"/>
          <w:lang w:eastAsia="zh-CN"/>
        </w:rPr>
        <w:t xml:space="preserve"> the current</w:t>
      </w:r>
      <w:r>
        <w:t xml:space="preserve"> access type; or</w:t>
      </w:r>
    </w:p>
    <w:p>
      <w:pPr>
        <w:pStyle w:val="78"/>
      </w:pPr>
      <w:r>
        <w:t>iii)</w:t>
      </w:r>
      <w:r>
        <w:tab/>
      </w:r>
      <w:r>
        <w:t>trusted non-3GPP access, the UE shall operate in NSSAI inclusion mode D in the current PLMN and</w:t>
      </w:r>
      <w:r>
        <w:rPr>
          <w:lang w:eastAsia="zh-CN"/>
        </w:rPr>
        <w:t xml:space="preserve"> the current</w:t>
      </w:r>
      <w:r>
        <w:t xml:space="preserve"> access type; or</w:t>
      </w:r>
    </w:p>
    <w:p>
      <w:pPr>
        <w:pStyle w:val="77"/>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76"/>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76"/>
      </w:pPr>
      <w:r>
        <w:t>-</w:t>
      </w:r>
      <w:r>
        <w:tab/>
      </w:r>
      <w:r>
        <w:t>the REGISTRATION ACCEPT message does not contain the T3447 value IE, then the UE shall erase any previous stored T3447 value if exists and stop the timer T3447 if running.</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76"/>
      </w:pPr>
      <w:r>
        <w:t>a)</w:t>
      </w:r>
      <w:r>
        <w:tab/>
      </w:r>
      <w:r>
        <w:t>stop timer T3448 if it is running; and</w:t>
      </w:r>
    </w:p>
    <w:p>
      <w:pPr>
        <w:pStyle w:val="76"/>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57"/>
        <w:rPr>
          <w:rFonts w:eastAsia="Malgun Gothic"/>
        </w:rPr>
      </w:pPr>
      <w:r>
        <w:t>NOTE 16: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76"/>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pPr>
        <w:pStyle w:val="76"/>
        <w:rPr>
          <w:lang w:val="en-US"/>
        </w:rPr>
      </w:pPr>
      <w:r>
        <w:rPr>
          <w:lang w:val="en-US"/>
        </w:rPr>
        <w:t>b)</w:t>
      </w:r>
      <w:r>
        <w:rPr>
          <w:lang w:val="en-US"/>
        </w:rPr>
        <w:tab/>
      </w:r>
      <w:r>
        <w:rPr>
          <w:lang w:val="en-US"/>
        </w:rPr>
        <w:t>a UE radio capability ID IE, the UE shall store the UE radio capability ID as specified in annex</w:t>
      </w:r>
      <w:r>
        <w:t> </w:t>
      </w:r>
      <w:r>
        <w:rPr>
          <w:lang w:val="en-US"/>
        </w:rPr>
        <w:t>C.</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pPr>
        <w:pStyle w:val="57"/>
        <w:rPr>
          <w:lang w:eastAsia="zh-CN"/>
        </w:rPr>
      </w:pPr>
      <w:r>
        <w:t>NOTE </w:t>
      </w:r>
      <w:r>
        <w:rPr>
          <w:lang w:eastAsia="zh-CN"/>
        </w:rPr>
        <w:t>17</w:t>
      </w:r>
      <w:r>
        <w:t>:</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rFonts w:hint="eastAsia"/>
          <w:lang w:eastAsia="zh-CN"/>
        </w:rPr>
        <w:t>,</w:t>
      </w:r>
      <w:r>
        <w:rPr>
          <w:lang w:eastAsia="zh-CN"/>
        </w:rPr>
        <w:t xml:space="preserve"> the AMF </w:t>
      </w:r>
      <w:r>
        <w:rPr>
          <w:rFonts w:hint="eastAsia"/>
          <w:lang w:eastAsia="zh-CN"/>
        </w:rPr>
        <w:t>can</w:t>
      </w:r>
      <w:r>
        <w:rPr>
          <w:lang w:eastAsia="zh-CN"/>
        </w:rPr>
        <w:t xml:space="preserve">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57"/>
      </w:pPr>
      <w:r>
        <w:t>NOTE </w:t>
      </w:r>
      <w:r>
        <w:rPr>
          <w:lang w:eastAsia="zh-CN"/>
        </w:rPr>
        <w:t>18</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r>
        <w:t>If the 5GS registration type IE is set to "disaster roaming initial registration" and:</w:t>
      </w:r>
    </w:p>
    <w:p>
      <w:pPr>
        <w:pStyle w:val="76"/>
      </w:pPr>
      <w:r>
        <w:t>a)</w:t>
      </w:r>
      <w:r>
        <w:tab/>
      </w:r>
      <w:r>
        <w:t>the PLMN with disaster condition IE is included in the REGISTRATION REQUEST message, the AMF shall determine the PLMN with disaster condition in the PLMN with disaster condition IE;</w:t>
      </w:r>
    </w:p>
    <w:p>
      <w:pPr>
        <w:pStyle w:val="76"/>
      </w:pPr>
      <w:r>
        <w:t>b)</w:t>
      </w:r>
      <w:r>
        <w:tab/>
      </w:r>
      <w:r>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pPr>
        <w:pStyle w:val="76"/>
      </w:pPr>
      <w:r>
        <w:t>c)</w:t>
      </w:r>
      <w:r>
        <w:tab/>
      </w:r>
      <w:r>
        <w:t>the PLMN with disaster condition IE and the Additional GUTI IE are not included in the REGISTRATION REQUEST message and:</w:t>
      </w:r>
    </w:p>
    <w:p>
      <w:pPr>
        <w:pStyle w:val="77"/>
      </w:pPr>
      <w:r>
        <w:t>1)</w:t>
      </w:r>
      <w:r>
        <w:tab/>
      </w:r>
      <w:r>
        <w:t>the 5GS mobile identity IE contains 5G-GUTI, the AMF shall determine the PLMN with disaster condition in the PLMN identity of the 5G-GUTI; or</w:t>
      </w:r>
    </w:p>
    <w:p>
      <w:pPr>
        <w:pStyle w:val="77"/>
      </w:pPr>
      <w:r>
        <w:t>2)</w:t>
      </w:r>
      <w:r>
        <w:tab/>
      </w:r>
      <w:r>
        <w:t>the 5GS mobile identity IE contains SUCI, the AMF shall determine the PLMN with disaster condition in the PLMN identity of the SUCI.</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A64D4F"/>
    <w:multiLevelType w:val="multilevel"/>
    <w:tmpl w:val="70A64D4F"/>
    <w:lvl w:ilvl="0" w:tentative="0">
      <w:start w:val="5"/>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rson w15:author="Zhou rev1">
    <w15:presenceInfo w15:providerId="None" w15:userId="Zhou rev1"/>
  </w15:person>
  <w15:person w15:author="Zhou rev2">
    <w15:presenceInfo w15:providerId="None" w15:userId="Zho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95"/>
    <w:rsid w:val="00022E4A"/>
    <w:rsid w:val="00034DEB"/>
    <w:rsid w:val="000A1798"/>
    <w:rsid w:val="000A1F6F"/>
    <w:rsid w:val="000A34FE"/>
    <w:rsid w:val="000A6394"/>
    <w:rsid w:val="000B671F"/>
    <w:rsid w:val="000B7FED"/>
    <w:rsid w:val="000C038A"/>
    <w:rsid w:val="000C6598"/>
    <w:rsid w:val="00126F6F"/>
    <w:rsid w:val="00127C45"/>
    <w:rsid w:val="00140C5B"/>
    <w:rsid w:val="00143DCF"/>
    <w:rsid w:val="00145D43"/>
    <w:rsid w:val="00146092"/>
    <w:rsid w:val="00170E7D"/>
    <w:rsid w:val="001759EC"/>
    <w:rsid w:val="00176393"/>
    <w:rsid w:val="00185EEA"/>
    <w:rsid w:val="00192C46"/>
    <w:rsid w:val="001A08B3"/>
    <w:rsid w:val="001A7B60"/>
    <w:rsid w:val="001B52F0"/>
    <w:rsid w:val="001B6A22"/>
    <w:rsid w:val="001B7A65"/>
    <w:rsid w:val="001E41F3"/>
    <w:rsid w:val="00220632"/>
    <w:rsid w:val="00227EAD"/>
    <w:rsid w:val="00230865"/>
    <w:rsid w:val="0026004D"/>
    <w:rsid w:val="00261891"/>
    <w:rsid w:val="002633A3"/>
    <w:rsid w:val="002640DD"/>
    <w:rsid w:val="00275D12"/>
    <w:rsid w:val="002816BF"/>
    <w:rsid w:val="00284FEB"/>
    <w:rsid w:val="002860C4"/>
    <w:rsid w:val="00293DF7"/>
    <w:rsid w:val="002A1ABE"/>
    <w:rsid w:val="002A1E4E"/>
    <w:rsid w:val="002B5741"/>
    <w:rsid w:val="002E2070"/>
    <w:rsid w:val="002F37E2"/>
    <w:rsid w:val="002F3F05"/>
    <w:rsid w:val="00305409"/>
    <w:rsid w:val="00330DC8"/>
    <w:rsid w:val="003609EF"/>
    <w:rsid w:val="0036231A"/>
    <w:rsid w:val="00363DF6"/>
    <w:rsid w:val="003674C0"/>
    <w:rsid w:val="00374DD4"/>
    <w:rsid w:val="003A1E22"/>
    <w:rsid w:val="003B729C"/>
    <w:rsid w:val="003D2165"/>
    <w:rsid w:val="003E1A36"/>
    <w:rsid w:val="00404AE6"/>
    <w:rsid w:val="00410371"/>
    <w:rsid w:val="004242F1"/>
    <w:rsid w:val="00434669"/>
    <w:rsid w:val="00460BA1"/>
    <w:rsid w:val="004741C3"/>
    <w:rsid w:val="00482143"/>
    <w:rsid w:val="004A3332"/>
    <w:rsid w:val="004A6835"/>
    <w:rsid w:val="004B75B7"/>
    <w:rsid w:val="004E0279"/>
    <w:rsid w:val="004E1669"/>
    <w:rsid w:val="00505885"/>
    <w:rsid w:val="00512317"/>
    <w:rsid w:val="00513D84"/>
    <w:rsid w:val="0051580D"/>
    <w:rsid w:val="00533AAD"/>
    <w:rsid w:val="00541D51"/>
    <w:rsid w:val="00547111"/>
    <w:rsid w:val="00570453"/>
    <w:rsid w:val="00571673"/>
    <w:rsid w:val="00576FEB"/>
    <w:rsid w:val="00592D74"/>
    <w:rsid w:val="005D2DBE"/>
    <w:rsid w:val="005E2C44"/>
    <w:rsid w:val="005E4DD1"/>
    <w:rsid w:val="00621188"/>
    <w:rsid w:val="006257ED"/>
    <w:rsid w:val="006756A4"/>
    <w:rsid w:val="00677E82"/>
    <w:rsid w:val="00695808"/>
    <w:rsid w:val="006B46FB"/>
    <w:rsid w:val="006D7A7D"/>
    <w:rsid w:val="006E21FB"/>
    <w:rsid w:val="00751825"/>
    <w:rsid w:val="00760822"/>
    <w:rsid w:val="0076678C"/>
    <w:rsid w:val="007674D9"/>
    <w:rsid w:val="00770392"/>
    <w:rsid w:val="00792342"/>
    <w:rsid w:val="007951CE"/>
    <w:rsid w:val="007977A8"/>
    <w:rsid w:val="007B512A"/>
    <w:rsid w:val="007C2097"/>
    <w:rsid w:val="007C7E11"/>
    <w:rsid w:val="007D6A07"/>
    <w:rsid w:val="007F7259"/>
    <w:rsid w:val="00803B82"/>
    <w:rsid w:val="008040A8"/>
    <w:rsid w:val="008279FA"/>
    <w:rsid w:val="008438B9"/>
    <w:rsid w:val="00843F64"/>
    <w:rsid w:val="008600BE"/>
    <w:rsid w:val="008626E7"/>
    <w:rsid w:val="00870EE7"/>
    <w:rsid w:val="008863B9"/>
    <w:rsid w:val="008A45A6"/>
    <w:rsid w:val="008C6A30"/>
    <w:rsid w:val="008D43EF"/>
    <w:rsid w:val="008E0DFF"/>
    <w:rsid w:val="008E405B"/>
    <w:rsid w:val="008F4C15"/>
    <w:rsid w:val="008F686C"/>
    <w:rsid w:val="00911F9C"/>
    <w:rsid w:val="009148DE"/>
    <w:rsid w:val="00927AE5"/>
    <w:rsid w:val="00941BFE"/>
    <w:rsid w:val="00941E30"/>
    <w:rsid w:val="00961CF6"/>
    <w:rsid w:val="009777D9"/>
    <w:rsid w:val="00991B88"/>
    <w:rsid w:val="009A37CE"/>
    <w:rsid w:val="009A5753"/>
    <w:rsid w:val="009A579D"/>
    <w:rsid w:val="009D5AFC"/>
    <w:rsid w:val="009E27D4"/>
    <w:rsid w:val="009E3297"/>
    <w:rsid w:val="009E6C24"/>
    <w:rsid w:val="009F734F"/>
    <w:rsid w:val="00A013F1"/>
    <w:rsid w:val="00A17406"/>
    <w:rsid w:val="00A246B6"/>
    <w:rsid w:val="00A464E6"/>
    <w:rsid w:val="00A47E70"/>
    <w:rsid w:val="00A50CF0"/>
    <w:rsid w:val="00A542A2"/>
    <w:rsid w:val="00A55441"/>
    <w:rsid w:val="00A56556"/>
    <w:rsid w:val="00A6092E"/>
    <w:rsid w:val="00A736CB"/>
    <w:rsid w:val="00A7671C"/>
    <w:rsid w:val="00AA2CBC"/>
    <w:rsid w:val="00AA5BE8"/>
    <w:rsid w:val="00AC5820"/>
    <w:rsid w:val="00AC5935"/>
    <w:rsid w:val="00AD1CD8"/>
    <w:rsid w:val="00AD3A52"/>
    <w:rsid w:val="00B258BB"/>
    <w:rsid w:val="00B468EF"/>
    <w:rsid w:val="00B67B97"/>
    <w:rsid w:val="00B968C8"/>
    <w:rsid w:val="00BA3EC5"/>
    <w:rsid w:val="00BA51D9"/>
    <w:rsid w:val="00BB5DFC"/>
    <w:rsid w:val="00BB6425"/>
    <w:rsid w:val="00BC6422"/>
    <w:rsid w:val="00BD279D"/>
    <w:rsid w:val="00BD6BB8"/>
    <w:rsid w:val="00BE623E"/>
    <w:rsid w:val="00BE70D2"/>
    <w:rsid w:val="00C075FB"/>
    <w:rsid w:val="00C42B40"/>
    <w:rsid w:val="00C66BA2"/>
    <w:rsid w:val="00C75CB0"/>
    <w:rsid w:val="00C85D64"/>
    <w:rsid w:val="00C901CA"/>
    <w:rsid w:val="00C95985"/>
    <w:rsid w:val="00CA21C3"/>
    <w:rsid w:val="00CC3486"/>
    <w:rsid w:val="00CC5026"/>
    <w:rsid w:val="00CC68D0"/>
    <w:rsid w:val="00CD5516"/>
    <w:rsid w:val="00CD56F3"/>
    <w:rsid w:val="00D03F9A"/>
    <w:rsid w:val="00D06D51"/>
    <w:rsid w:val="00D24991"/>
    <w:rsid w:val="00D50255"/>
    <w:rsid w:val="00D66520"/>
    <w:rsid w:val="00D85BA3"/>
    <w:rsid w:val="00D91B51"/>
    <w:rsid w:val="00DA3849"/>
    <w:rsid w:val="00DE34CF"/>
    <w:rsid w:val="00DF27CE"/>
    <w:rsid w:val="00DF31C5"/>
    <w:rsid w:val="00DF4433"/>
    <w:rsid w:val="00E02C44"/>
    <w:rsid w:val="00E13F3D"/>
    <w:rsid w:val="00E244ED"/>
    <w:rsid w:val="00E34898"/>
    <w:rsid w:val="00E47A01"/>
    <w:rsid w:val="00E8079D"/>
    <w:rsid w:val="00EA2A33"/>
    <w:rsid w:val="00EB09B7"/>
    <w:rsid w:val="00EC02F2"/>
    <w:rsid w:val="00EE7D7C"/>
    <w:rsid w:val="00EF16DB"/>
    <w:rsid w:val="00F25012"/>
    <w:rsid w:val="00F25D98"/>
    <w:rsid w:val="00F300FB"/>
    <w:rsid w:val="00F42F80"/>
    <w:rsid w:val="00F83722"/>
    <w:rsid w:val="00FB5EBB"/>
    <w:rsid w:val="00FB6386"/>
    <w:rsid w:val="00FC38F1"/>
    <w:rsid w:val="00FE4C1E"/>
    <w:rsid w:val="00FF6D95"/>
    <w:rsid w:val="040567F4"/>
    <w:rsid w:val="16B01A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87"/>
    <w:qFormat/>
    <w:uiPriority w:val="0"/>
    <w:pPr>
      <w:ind w:left="1418" w:hanging="1418"/>
      <w:outlineLvl w:val="3"/>
    </w:pPr>
    <w:rPr>
      <w:sz w:val="24"/>
    </w:rPr>
  </w:style>
  <w:style w:type="paragraph" w:styleId="6">
    <w:name w:val="heading 5"/>
    <w:basedOn w:val="5"/>
    <w:next w:val="1"/>
    <w:link w:val="88"/>
    <w:qFormat/>
    <w:uiPriority w:val="0"/>
    <w:pPr>
      <w:ind w:left="1701" w:hanging="1701"/>
      <w:outlineLvl w:val="4"/>
    </w:pPr>
    <w:rPr>
      <w:sz w:val="22"/>
    </w:rPr>
  </w:style>
  <w:style w:type="paragraph" w:styleId="7">
    <w:name w:val="heading 6"/>
    <w:basedOn w:val="8"/>
    <w:next w:val="1"/>
    <w:link w:val="89"/>
    <w:qFormat/>
    <w:uiPriority w:val="0"/>
    <w:pPr>
      <w:outlineLvl w:val="5"/>
    </w:pPr>
  </w:style>
  <w:style w:type="paragraph" w:styleId="9">
    <w:name w:val="heading 7"/>
    <w:basedOn w:val="8"/>
    <w:next w:val="1"/>
    <w:link w:val="90"/>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103"/>
    <w:semiHidden/>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09"/>
    <w:semiHidden/>
    <w:qFormat/>
    <w:uiPriority w:val="0"/>
    <w:rPr>
      <w:rFonts w:ascii="Tahoma" w:hAnsi="Tahoma" w:cs="Tahoma"/>
      <w:sz w:val="16"/>
      <w:szCs w:val="16"/>
    </w:rPr>
  </w:style>
  <w:style w:type="paragraph" w:styleId="34">
    <w:name w:val="footer"/>
    <w:basedOn w:val="35"/>
    <w:link w:val="111"/>
    <w:qFormat/>
    <w:uiPriority w:val="0"/>
    <w:pPr>
      <w:jc w:val="center"/>
    </w:pPr>
    <w:rPr>
      <w:i/>
    </w:rPr>
  </w:style>
  <w:style w:type="paragraph" w:styleId="35">
    <w:name w:val="header"/>
    <w:link w:val="110"/>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5"/>
    <w:qFormat/>
    <w:uiPriority w:val="0"/>
    <w:rPr>
      <w:b/>
    </w:rPr>
  </w:style>
  <w:style w:type="paragraph" w:customStyle="1" w:styleId="53">
    <w:name w:val="TAC"/>
    <w:basedOn w:val="54"/>
    <w:link w:val="94"/>
    <w:qFormat/>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link w:val="101"/>
    <w:qFormat/>
    <w:uiPriority w:val="0"/>
    <w:pPr>
      <w:keepNext w:val="0"/>
      <w:spacing w:before="0" w:after="240"/>
    </w:pPr>
  </w:style>
  <w:style w:type="paragraph" w:customStyle="1" w:styleId="56">
    <w:name w:val="TH"/>
    <w:basedOn w:val="1"/>
    <w:link w:val="99"/>
    <w:qFormat/>
    <w:uiPriority w:val="0"/>
    <w:pPr>
      <w:keepNext/>
      <w:keepLines/>
      <w:spacing w:before="60"/>
      <w:jc w:val="center"/>
    </w:pPr>
    <w:rPr>
      <w:rFonts w:ascii="Arial" w:hAnsi="Arial"/>
      <w:b/>
    </w:rPr>
  </w:style>
  <w:style w:type="paragraph" w:customStyle="1" w:styleId="57">
    <w:name w:val="NO"/>
    <w:basedOn w:val="1"/>
    <w:link w:val="91"/>
    <w:qFormat/>
    <w:uiPriority w:val="0"/>
    <w:pPr>
      <w:keepLines/>
      <w:ind w:left="1135" w:hanging="851"/>
    </w:pPr>
  </w:style>
  <w:style w:type="paragraph" w:customStyle="1" w:styleId="58">
    <w:name w:val="EX"/>
    <w:basedOn w:val="1"/>
    <w:link w:val="9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link w:val="107"/>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0"/>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8"/>
    <w:qFormat/>
    <w:uiPriority w:val="0"/>
    <w:rPr>
      <w:color w:val="FF0000"/>
    </w:rPr>
  </w:style>
  <w:style w:type="paragraph" w:customStyle="1" w:styleId="76">
    <w:name w:val="B1"/>
    <w:basedOn w:val="14"/>
    <w:link w:val="97"/>
    <w:qFormat/>
    <w:uiPriority w:val="0"/>
  </w:style>
  <w:style w:type="paragraph" w:customStyle="1" w:styleId="77">
    <w:name w:val="B2"/>
    <w:basedOn w:val="13"/>
    <w:link w:val="102"/>
    <w:qFormat/>
    <w:uiPriority w:val="0"/>
  </w:style>
  <w:style w:type="paragraph" w:customStyle="1" w:styleId="78">
    <w:name w:val="B3"/>
    <w:basedOn w:val="12"/>
    <w:link w:val="106"/>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1 Char"/>
    <w:link w:val="2"/>
    <w:qFormat/>
    <w:uiPriority w:val="0"/>
    <w:rPr>
      <w:rFonts w:ascii="Arial" w:hAnsi="Arial"/>
      <w:sz w:val="36"/>
      <w:lang w:val="en-GB" w:eastAsia="en-US"/>
    </w:rPr>
  </w:style>
  <w:style w:type="character" w:customStyle="1" w:styleId="85">
    <w:name w:val="标题 2 Char"/>
    <w:link w:val="3"/>
    <w:qFormat/>
    <w:uiPriority w:val="0"/>
    <w:rPr>
      <w:rFonts w:ascii="Arial" w:hAnsi="Arial"/>
      <w:sz w:val="32"/>
      <w:lang w:val="en-GB" w:eastAsia="en-US"/>
    </w:rPr>
  </w:style>
  <w:style w:type="character" w:customStyle="1" w:styleId="86">
    <w:name w:val="标题 3 Char"/>
    <w:link w:val="4"/>
    <w:qFormat/>
    <w:uiPriority w:val="0"/>
    <w:rPr>
      <w:rFonts w:ascii="Arial" w:hAnsi="Arial"/>
      <w:sz w:val="28"/>
      <w:lang w:val="en-GB" w:eastAsia="en-US"/>
    </w:rPr>
  </w:style>
  <w:style w:type="character" w:customStyle="1" w:styleId="87">
    <w:name w:val="标题 4 Char"/>
    <w:link w:val="5"/>
    <w:qFormat/>
    <w:uiPriority w:val="0"/>
    <w:rPr>
      <w:rFonts w:ascii="Arial" w:hAnsi="Arial"/>
      <w:sz w:val="24"/>
      <w:lang w:val="en-GB" w:eastAsia="en-US"/>
    </w:rPr>
  </w:style>
  <w:style w:type="character" w:customStyle="1" w:styleId="88">
    <w:name w:val="标题 5 Char"/>
    <w:link w:val="6"/>
    <w:qFormat/>
    <w:uiPriority w:val="0"/>
    <w:rPr>
      <w:rFonts w:ascii="Arial" w:hAnsi="Arial"/>
      <w:sz w:val="22"/>
      <w:lang w:val="en-GB" w:eastAsia="en-US"/>
    </w:rPr>
  </w:style>
  <w:style w:type="character" w:customStyle="1" w:styleId="89">
    <w:name w:val="标题 6 Char"/>
    <w:link w:val="7"/>
    <w:qFormat/>
    <w:uiPriority w:val="0"/>
    <w:rPr>
      <w:rFonts w:ascii="Arial" w:hAnsi="Arial"/>
      <w:lang w:val="en-GB" w:eastAsia="en-US"/>
    </w:rPr>
  </w:style>
  <w:style w:type="character" w:customStyle="1" w:styleId="90">
    <w:name w:val="标题 7 Char"/>
    <w:link w:val="9"/>
    <w:qFormat/>
    <w:uiPriority w:val="0"/>
    <w:rPr>
      <w:rFonts w:ascii="Arial" w:hAnsi="Arial"/>
      <w:lang w:val="en-GB" w:eastAsia="en-US"/>
    </w:rPr>
  </w:style>
  <w:style w:type="character" w:customStyle="1" w:styleId="91">
    <w:name w:val="NO Zchn"/>
    <w:link w:val="57"/>
    <w:qFormat/>
    <w:uiPriority w:val="0"/>
    <w:rPr>
      <w:rFonts w:ascii="Times New Roman" w:hAnsi="Times New Roman"/>
      <w:lang w:val="en-GB" w:eastAsia="en-US"/>
    </w:rPr>
  </w:style>
  <w:style w:type="character" w:customStyle="1" w:styleId="92">
    <w:name w:val="PL Char"/>
    <w:link w:val="65"/>
    <w:qFormat/>
    <w:locked/>
    <w:uiPriority w:val="0"/>
    <w:rPr>
      <w:rFonts w:ascii="Courier New" w:hAnsi="Courier New"/>
      <w:sz w:val="16"/>
      <w:lang w:val="en-GB" w:eastAsia="en-US"/>
    </w:rPr>
  </w:style>
  <w:style w:type="character" w:customStyle="1" w:styleId="93">
    <w:name w:val="TAL Char"/>
    <w:link w:val="54"/>
    <w:qFormat/>
    <w:uiPriority w:val="0"/>
    <w:rPr>
      <w:rFonts w:ascii="Arial" w:hAnsi="Arial"/>
      <w:sz w:val="18"/>
      <w:lang w:val="en-GB" w:eastAsia="en-US"/>
    </w:rPr>
  </w:style>
  <w:style w:type="character" w:customStyle="1" w:styleId="94">
    <w:name w:val="TAC Char"/>
    <w:link w:val="53"/>
    <w:qFormat/>
    <w:locked/>
    <w:uiPriority w:val="0"/>
    <w:rPr>
      <w:rFonts w:ascii="Arial" w:hAnsi="Arial"/>
      <w:sz w:val="18"/>
      <w:lang w:val="en-GB" w:eastAsia="en-US"/>
    </w:rPr>
  </w:style>
  <w:style w:type="character" w:customStyle="1" w:styleId="95">
    <w:name w:val="TAH Car"/>
    <w:link w:val="52"/>
    <w:qFormat/>
    <w:uiPriority w:val="0"/>
    <w:rPr>
      <w:rFonts w:ascii="Arial" w:hAnsi="Arial"/>
      <w:b/>
      <w:sz w:val="18"/>
      <w:lang w:val="en-GB" w:eastAsia="en-US"/>
    </w:rPr>
  </w:style>
  <w:style w:type="character" w:customStyle="1" w:styleId="96">
    <w:name w:val="EX Car"/>
    <w:link w:val="58"/>
    <w:qFormat/>
    <w:uiPriority w:val="0"/>
    <w:rPr>
      <w:rFonts w:ascii="Times New Roman" w:hAnsi="Times New Roman"/>
      <w:lang w:val="en-GB" w:eastAsia="en-US"/>
    </w:rPr>
  </w:style>
  <w:style w:type="character" w:customStyle="1" w:styleId="97">
    <w:name w:val="B1 Char"/>
    <w:link w:val="76"/>
    <w:qFormat/>
    <w:locked/>
    <w:uiPriority w:val="0"/>
    <w:rPr>
      <w:rFonts w:ascii="Times New Roman" w:hAnsi="Times New Roman"/>
      <w:lang w:val="en-GB" w:eastAsia="en-US"/>
    </w:rPr>
  </w:style>
  <w:style w:type="character" w:customStyle="1" w:styleId="98">
    <w:name w:val="Editor's Note Char"/>
    <w:link w:val="75"/>
    <w:qFormat/>
    <w:uiPriority w:val="0"/>
    <w:rPr>
      <w:rFonts w:ascii="Times New Roman" w:hAnsi="Times New Roman"/>
      <w:color w:val="FF0000"/>
      <w:lang w:val="en-GB" w:eastAsia="en-US"/>
    </w:rPr>
  </w:style>
  <w:style w:type="character" w:customStyle="1" w:styleId="99">
    <w:name w:val="TH Char"/>
    <w:link w:val="56"/>
    <w:qFormat/>
    <w:uiPriority w:val="0"/>
    <w:rPr>
      <w:rFonts w:ascii="Arial" w:hAnsi="Arial"/>
      <w:b/>
      <w:lang w:val="en-GB" w:eastAsia="en-US"/>
    </w:rPr>
  </w:style>
  <w:style w:type="character" w:customStyle="1" w:styleId="100">
    <w:name w:val="TAN Char"/>
    <w:link w:val="67"/>
    <w:locked/>
    <w:uiPriority w:val="0"/>
    <w:rPr>
      <w:rFonts w:ascii="Arial" w:hAnsi="Arial"/>
      <w:sz w:val="18"/>
      <w:lang w:val="en-GB" w:eastAsia="en-US"/>
    </w:rPr>
  </w:style>
  <w:style w:type="character" w:customStyle="1" w:styleId="101">
    <w:name w:val="TF Char"/>
    <w:link w:val="55"/>
    <w:qFormat/>
    <w:locked/>
    <w:uiPriority w:val="0"/>
    <w:rPr>
      <w:rFonts w:ascii="Arial" w:hAnsi="Arial"/>
      <w:b/>
      <w:lang w:val="en-GB" w:eastAsia="en-US"/>
    </w:rPr>
  </w:style>
  <w:style w:type="character" w:customStyle="1" w:styleId="102">
    <w:name w:val="B2 Char"/>
    <w:link w:val="77"/>
    <w:qFormat/>
    <w:uiPriority w:val="0"/>
    <w:rPr>
      <w:rFonts w:ascii="Times New Roman" w:hAnsi="Times New Roman"/>
      <w:lang w:val="en-GB" w:eastAsia="en-US"/>
    </w:rPr>
  </w:style>
  <w:style w:type="character" w:customStyle="1" w:styleId="103">
    <w:name w:val="正文文本 Char"/>
    <w:basedOn w:val="44"/>
    <w:link w:val="30"/>
    <w:semiHidden/>
    <w:qFormat/>
    <w:uiPriority w:val="0"/>
    <w:rPr>
      <w:rFonts w:ascii="Times New Roman" w:hAnsi="Times New Roman" w:eastAsia="Times New Roman"/>
      <w:lang w:val="en-GB" w:eastAsia="en-GB"/>
    </w:rPr>
  </w:style>
  <w:style w:type="paragraph" w:customStyle="1" w:styleId="10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05">
    <w:name w:val="修订1"/>
    <w:hidden/>
    <w:semiHidden/>
    <w:qFormat/>
    <w:uiPriority w:val="99"/>
    <w:rPr>
      <w:rFonts w:ascii="Times New Roman" w:hAnsi="Times New Roman" w:eastAsia="宋体" w:cs="Times New Roman"/>
      <w:lang w:val="en-GB" w:eastAsia="en-US" w:bidi="ar-SA"/>
    </w:rPr>
  </w:style>
  <w:style w:type="character" w:customStyle="1" w:styleId="106">
    <w:name w:val="B3 Car"/>
    <w:link w:val="78"/>
    <w:uiPriority w:val="0"/>
    <w:rPr>
      <w:rFonts w:ascii="Times New Roman" w:hAnsi="Times New Roman"/>
      <w:lang w:val="en-GB" w:eastAsia="en-US"/>
    </w:rPr>
  </w:style>
  <w:style w:type="character" w:customStyle="1" w:styleId="107">
    <w:name w:val="EW Char"/>
    <w:link w:val="62"/>
    <w:qFormat/>
    <w:locked/>
    <w:uiPriority w:val="0"/>
    <w:rPr>
      <w:rFonts w:ascii="Times New Roman" w:hAnsi="Times New Roman"/>
      <w:lang w:val="en-GB" w:eastAsia="en-US"/>
    </w:rPr>
  </w:style>
  <w:style w:type="paragraph" w:customStyle="1" w:styleId="108">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09">
    <w:name w:val="批注框文本 Char"/>
    <w:basedOn w:val="44"/>
    <w:link w:val="33"/>
    <w:semiHidden/>
    <w:qFormat/>
    <w:uiPriority w:val="0"/>
    <w:rPr>
      <w:rFonts w:ascii="Tahoma" w:hAnsi="Tahoma" w:cs="Tahoma"/>
      <w:sz w:val="16"/>
      <w:szCs w:val="16"/>
      <w:lang w:val="en-GB" w:eastAsia="en-US"/>
    </w:rPr>
  </w:style>
  <w:style w:type="character" w:customStyle="1" w:styleId="110">
    <w:name w:val="页眉 Char"/>
    <w:basedOn w:val="44"/>
    <w:link w:val="35"/>
    <w:qFormat/>
    <w:uiPriority w:val="0"/>
    <w:rPr>
      <w:rFonts w:ascii="Arial" w:hAnsi="Arial"/>
      <w:b/>
      <w:sz w:val="18"/>
      <w:lang w:val="en-GB" w:eastAsia="en-US"/>
    </w:rPr>
  </w:style>
  <w:style w:type="character" w:customStyle="1" w:styleId="111">
    <w:name w:val="页脚 Char"/>
    <w:basedOn w:val="44"/>
    <w:link w:val="34"/>
    <w:qFormat/>
    <w:uiPriority w:val="0"/>
    <w:rPr>
      <w:rFonts w:ascii="Arial" w:hAnsi="Arial"/>
      <w:b/>
      <w:i/>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AFDC68-459C-421B-A7C3-8BAF69EB0D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20</Pages>
  <Words>11698</Words>
  <Characters>66682</Characters>
  <Lines>555</Lines>
  <Paragraphs>156</Paragraphs>
  <TotalTime>37</TotalTime>
  <ScaleCrop>false</ScaleCrop>
  <LinksUpToDate>false</LinksUpToDate>
  <CharactersWithSpaces>78224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2022-02-10T10:02:00Z</dcterms:created>
  <dc:creator>Michael Sanders, John M Meredith</dc:creator>
  <cp:lastModifiedBy>00082238</cp:lastModifiedBy>
  <cp:lastPrinted>2411-12-31T15:59:00Z</cp:lastPrinted>
  <dcterms:modified xsi:type="dcterms:W3CDTF">2022-02-10T10:45:52Z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